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893921">
      <w:pPr>
        <w:spacing w:after="870" w:line="560" w:lineRule="exact"/>
        <w:jc w:val="center"/>
        <w:rPr>
          <w:rStyle w:val="18"/>
          <w:rFonts w:ascii="仿宋_GB2312" w:eastAsia="仿宋_GB2312"/>
          <w:sz w:val="44"/>
          <w:szCs w:val="44"/>
        </w:rPr>
      </w:pPr>
      <w:r>
        <w:rPr>
          <w:rStyle w:val="18"/>
          <w:rFonts w:hint="eastAsia" w:ascii="Times New Roman" w:eastAsia="方正小标宋简体"/>
          <w:sz w:val="44"/>
          <w:szCs w:val="44"/>
          <w:lang w:eastAsia="zh-CN"/>
        </w:rPr>
        <w:t>大荣新区农村产业融合示范园项目</w:t>
      </w:r>
      <w:r>
        <w:rPr>
          <w:rStyle w:val="18"/>
          <w:rFonts w:ascii="Times New Roman" w:eastAsia="方正小标宋简体"/>
          <w:sz w:val="44"/>
          <w:szCs w:val="44"/>
        </w:rPr>
        <w:t>情况</w:t>
      </w:r>
    </w:p>
    <w:p w14:paraId="57B2E359">
      <w:pPr>
        <w:spacing w:line="560" w:lineRule="exact"/>
        <w:ind w:firstLine="640" w:firstLineChars="200"/>
        <w:rPr>
          <w:rStyle w:val="18"/>
          <w:rFonts w:ascii="黑体" w:hAnsi="黑体" w:eastAsia="黑体"/>
          <w:sz w:val="32"/>
          <w:szCs w:val="32"/>
        </w:rPr>
      </w:pPr>
      <w:r>
        <w:rPr>
          <w:rStyle w:val="18"/>
          <w:rFonts w:ascii="黑体" w:hAnsi="黑体" w:eastAsia="黑体"/>
          <w:sz w:val="32"/>
          <w:szCs w:val="32"/>
        </w:rPr>
        <w:t>一、项目基本情况</w:t>
      </w:r>
    </w:p>
    <w:p w14:paraId="1C7371B4">
      <w:pPr>
        <w:spacing w:line="560" w:lineRule="exact"/>
        <w:ind w:firstLine="643" w:firstLineChars="200"/>
        <w:rPr>
          <w:rStyle w:val="18"/>
          <w:rFonts w:ascii="楷体_GB2312" w:eastAsia="楷体_GB2312"/>
          <w:b/>
          <w:sz w:val="32"/>
          <w:szCs w:val="32"/>
        </w:rPr>
      </w:pPr>
      <w:r>
        <w:rPr>
          <w:rStyle w:val="18"/>
          <w:rFonts w:ascii="楷体_GB2312" w:eastAsia="楷体_GB2312"/>
          <w:b/>
          <w:sz w:val="32"/>
          <w:szCs w:val="32"/>
        </w:rPr>
        <w:t>（一）市县及行业专项规划概况</w:t>
      </w:r>
    </w:p>
    <w:p w14:paraId="2990366E">
      <w:pPr>
        <w:spacing w:line="560" w:lineRule="exact"/>
        <w:ind w:firstLine="640" w:firstLineChars="200"/>
        <w:rPr>
          <w:rStyle w:val="18"/>
          <w:rFonts w:ascii="仿宋_GB2312" w:hAnsi="Calibri" w:eastAsia="仿宋_GB2312"/>
          <w:sz w:val="32"/>
          <w:szCs w:val="32"/>
        </w:rPr>
      </w:pPr>
      <w:r>
        <w:rPr>
          <w:rStyle w:val="18"/>
          <w:rFonts w:hint="eastAsia" w:ascii="仿宋_GB2312" w:hAnsi="Calibri" w:eastAsia="仿宋_GB2312"/>
          <w:sz w:val="32"/>
          <w:szCs w:val="32"/>
        </w:rPr>
        <w:t>为加快推动城乡协调发展；构建新发展格局，中共中央国务院办公厅印发印发了《关于全面推进乡村振兴加快农业农村现代化的意见》明确：到2025年，农业农村现代化取得重要进展，农业基础设施现代化迈上新台阶，农村生活设施便利化初步实现，城乡基本公共服务均等化水平明显提高。农业基础更加稳固，粮食和重要农产品供应保障更加有力，农业生产结构和区域布局明显优化，农业质量效益和竞争力明显提升，现代乡村产业体系基本形成，有条件的地区率先基本实现农业现代化。脱贫攻坚成果巩固拓展，城乡居民收入差距持续缩小。农村生产生活方式绿色转型取得积极进展，化肥农药使用量持续减少，农村生态环境得到明显改善。乡村建设行动取得明显成效，乡村面貌发生显著变化，乡村发展活力充分激发，乡村文明程度得到新提升，农村发展安全保障更加有力，农民获得感、幸福感、安全感明显提高</w:t>
      </w:r>
      <w:r>
        <w:rPr>
          <w:rStyle w:val="18"/>
          <w:rFonts w:ascii="仿宋_GB2312" w:hAnsi="Calibri" w:eastAsia="仿宋_GB2312"/>
          <w:sz w:val="32"/>
          <w:szCs w:val="32"/>
        </w:rPr>
        <w:t>。</w:t>
      </w:r>
    </w:p>
    <w:p w14:paraId="4C3915C2">
      <w:pPr>
        <w:spacing w:line="560" w:lineRule="exact"/>
        <w:ind w:firstLine="643" w:firstLineChars="200"/>
        <w:rPr>
          <w:rStyle w:val="18"/>
          <w:rFonts w:ascii="楷体_GB2312" w:eastAsia="楷体_GB2312"/>
          <w:b/>
          <w:sz w:val="32"/>
          <w:szCs w:val="32"/>
        </w:rPr>
      </w:pPr>
      <w:r>
        <w:rPr>
          <w:rStyle w:val="18"/>
          <w:rFonts w:ascii="楷体_GB2312" w:eastAsia="楷体_GB2312"/>
          <w:b/>
          <w:sz w:val="32"/>
          <w:szCs w:val="32"/>
        </w:rPr>
        <w:t>（二）项目情况</w:t>
      </w:r>
    </w:p>
    <w:p w14:paraId="4B4A437F">
      <w:pPr>
        <w:spacing w:line="560" w:lineRule="exact"/>
        <w:ind w:firstLine="643" w:firstLineChars="200"/>
        <w:rPr>
          <w:rStyle w:val="18"/>
          <w:rFonts w:ascii="仿宋_GB2312" w:eastAsia="仿宋_GB2312"/>
          <w:b/>
          <w:sz w:val="32"/>
          <w:szCs w:val="32"/>
        </w:rPr>
      </w:pPr>
      <w:r>
        <w:rPr>
          <w:rStyle w:val="18"/>
          <w:rFonts w:ascii="仿宋_GB2312" w:eastAsia="仿宋_GB2312"/>
          <w:b/>
          <w:sz w:val="32"/>
          <w:szCs w:val="32"/>
        </w:rPr>
        <w:t>1.参与主体</w:t>
      </w:r>
    </w:p>
    <w:p w14:paraId="0D0E5FFC">
      <w:pPr>
        <w:pStyle w:val="17"/>
        <w:spacing w:after="0" w:line="560" w:lineRule="exact"/>
        <w:ind w:firstLine="640" w:firstLineChars="200"/>
        <w:jc w:val="both"/>
        <w:rPr>
          <w:rStyle w:val="18"/>
          <w:rFonts w:hint="eastAsia" w:ascii="仿宋_GB2312" w:hAnsi="Calibri" w:eastAsia="仿宋_GB2312"/>
          <w:sz w:val="32"/>
          <w:szCs w:val="32"/>
          <w:lang w:eastAsia="zh-CN"/>
        </w:rPr>
      </w:pPr>
      <w:r>
        <w:rPr>
          <w:rStyle w:val="18"/>
          <w:rFonts w:ascii="仿宋_GB2312" w:hAnsi="Calibri" w:eastAsia="仿宋_GB2312"/>
          <w:sz w:val="32"/>
          <w:szCs w:val="32"/>
        </w:rPr>
        <w:t>项目名称：</w:t>
      </w:r>
      <w:r>
        <w:rPr>
          <w:rStyle w:val="18"/>
          <w:rFonts w:hint="eastAsia" w:ascii="仿宋_GB2312" w:hAnsi="Calibri" w:eastAsia="仿宋_GB2312"/>
          <w:sz w:val="32"/>
          <w:szCs w:val="32"/>
          <w:lang w:eastAsia="zh-CN"/>
        </w:rPr>
        <w:t>大荣新区农村产业融合示范园项目</w:t>
      </w:r>
    </w:p>
    <w:p w14:paraId="506FFA71">
      <w:pPr>
        <w:pStyle w:val="17"/>
        <w:spacing w:after="0" w:line="560" w:lineRule="exact"/>
        <w:ind w:firstLine="640" w:firstLineChars="200"/>
        <w:jc w:val="both"/>
        <w:rPr>
          <w:rStyle w:val="18"/>
          <w:rFonts w:hint="eastAsia" w:ascii="仿宋_GB2312" w:hAnsi="Calibri" w:eastAsia="仿宋_GB2312"/>
          <w:sz w:val="32"/>
          <w:szCs w:val="32"/>
          <w:lang w:eastAsia="zh-CN"/>
        </w:rPr>
      </w:pPr>
      <w:r>
        <w:rPr>
          <w:rStyle w:val="18"/>
          <w:rFonts w:ascii="仿宋_GB2312" w:hAnsi="Calibri" w:eastAsia="仿宋_GB2312"/>
          <w:sz w:val="32"/>
          <w:szCs w:val="32"/>
        </w:rPr>
        <w:t>实施机构：</w:t>
      </w:r>
      <w:r>
        <w:rPr>
          <w:rStyle w:val="18"/>
          <w:rFonts w:hint="eastAsia" w:ascii="仿宋_GB2312" w:hAnsi="Calibri" w:eastAsia="仿宋_GB2312"/>
          <w:sz w:val="32"/>
          <w:szCs w:val="32"/>
          <w:lang w:eastAsia="zh-CN"/>
        </w:rPr>
        <w:t>广元利慧文化旅游开发有限公司</w:t>
      </w:r>
    </w:p>
    <w:p w14:paraId="3B93A453">
      <w:pPr>
        <w:tabs>
          <w:tab w:val="left" w:pos="315"/>
        </w:tabs>
        <w:spacing w:line="560" w:lineRule="exact"/>
        <w:ind w:firstLine="643" w:firstLineChars="200"/>
        <w:rPr>
          <w:rStyle w:val="18"/>
          <w:rFonts w:ascii="仿宋_GB2312" w:eastAsia="仿宋_GB2312"/>
          <w:b/>
          <w:sz w:val="32"/>
          <w:szCs w:val="32"/>
        </w:rPr>
      </w:pPr>
      <w:r>
        <w:rPr>
          <w:rStyle w:val="18"/>
          <w:rFonts w:ascii="仿宋_GB2312" w:eastAsia="仿宋_GB2312"/>
          <w:b/>
          <w:sz w:val="32"/>
          <w:szCs w:val="32"/>
        </w:rPr>
        <w:t>2.项目概况</w:t>
      </w:r>
    </w:p>
    <w:p w14:paraId="7A320B1B">
      <w:pPr>
        <w:spacing w:line="560" w:lineRule="exact"/>
        <w:ind w:firstLine="640" w:firstLineChars="200"/>
        <w:rPr>
          <w:rStyle w:val="18"/>
          <w:rFonts w:ascii="仿宋_GB2312" w:hAnsi="Calibri" w:eastAsia="仿宋_GB2312"/>
          <w:sz w:val="32"/>
          <w:szCs w:val="32"/>
        </w:rPr>
      </w:pPr>
      <w:r>
        <w:rPr>
          <w:rStyle w:val="18"/>
          <w:rFonts w:hint="eastAsia" w:ascii="仿宋_GB2312" w:hAnsi="Calibri" w:eastAsia="仿宋_GB2312"/>
          <w:sz w:val="32"/>
          <w:szCs w:val="32"/>
        </w:rPr>
        <w:t>建设内容及规模：新建农业产业示范园及配套设施建设(包含百香果观光园500亩、草莓采摘园100亩、蓝莓采摘园50亩、羊肚菌产业园100亩、有机蔬菜产业园500亩、“稻鱼共生”基地50亩)、新建中口粮油园区4500亩及配套设施建设、改建物流观光服务中心及配套设施建设、道路工程建设、河堤整治及人居环境整治、设施设备购置等</w:t>
      </w:r>
      <w:r>
        <w:rPr>
          <w:rStyle w:val="18"/>
          <w:rFonts w:ascii="仿宋_GB2312" w:hAnsi="Calibri" w:eastAsia="仿宋_GB2312"/>
          <w:sz w:val="32"/>
          <w:szCs w:val="32"/>
        </w:rPr>
        <w:t>。</w:t>
      </w:r>
    </w:p>
    <w:p w14:paraId="53118D5B">
      <w:pPr>
        <w:spacing w:line="560" w:lineRule="exact"/>
        <w:ind w:firstLine="640" w:firstLineChars="200"/>
        <w:rPr>
          <w:rStyle w:val="18"/>
          <w:rFonts w:ascii="黑体" w:hAnsi="黑体" w:eastAsia="黑体"/>
          <w:sz w:val="32"/>
          <w:szCs w:val="32"/>
        </w:rPr>
      </w:pPr>
      <w:r>
        <w:rPr>
          <w:rStyle w:val="18"/>
          <w:rFonts w:ascii="黑体" w:hAnsi="黑体" w:eastAsia="黑体"/>
          <w:sz w:val="32"/>
          <w:szCs w:val="32"/>
        </w:rPr>
        <w:t>二、经济社会效益分析</w:t>
      </w:r>
    </w:p>
    <w:p w14:paraId="2D8BF15E">
      <w:pPr>
        <w:pStyle w:val="17"/>
        <w:spacing w:line="560" w:lineRule="exact"/>
        <w:ind w:firstLine="643" w:firstLineChars="200"/>
        <w:jc w:val="both"/>
        <w:rPr>
          <w:rStyle w:val="18"/>
          <w:rFonts w:ascii="楷体_GB2312" w:eastAsia="楷体_GB2312"/>
          <w:b/>
          <w:sz w:val="32"/>
          <w:szCs w:val="32"/>
        </w:rPr>
      </w:pPr>
      <w:r>
        <w:rPr>
          <w:rStyle w:val="18"/>
          <w:rFonts w:ascii="楷体_GB2312" w:eastAsia="楷体_GB2312"/>
          <w:b/>
          <w:sz w:val="32"/>
          <w:szCs w:val="32"/>
        </w:rPr>
        <w:t>（一）经济效益分析</w:t>
      </w:r>
    </w:p>
    <w:p w14:paraId="39D98F2E">
      <w:pPr>
        <w:spacing w:line="560" w:lineRule="exact"/>
        <w:ind w:firstLine="640" w:firstLineChars="200"/>
        <w:rPr>
          <w:rStyle w:val="18"/>
          <w:rFonts w:hint="eastAsia" w:ascii="仿宋_GB2312" w:hAnsi="Calibri" w:eastAsia="仿宋_GB2312"/>
          <w:sz w:val="32"/>
          <w:szCs w:val="32"/>
        </w:rPr>
      </w:pPr>
      <w:r>
        <w:rPr>
          <w:rStyle w:val="18"/>
          <w:rFonts w:hint="eastAsia" w:ascii="仿宋_GB2312" w:hAnsi="Calibri" w:eastAsia="仿宋_GB2312"/>
          <w:sz w:val="32"/>
          <w:szCs w:val="32"/>
        </w:rPr>
        <w:t>实施乡村振兴将在农村基础设施建设、人居环境改善、产业发展等方面带来较大的投资需求，也将带动产业兴旺。农业现代化发展将大大提高农业劳动生产率，绿色环保产业发展以及农业与第二产业和第三产业融合发展，将带来新的经济增长点。此外，提高农民收入和保障水平是乡村振兴的重要目标，这有助于激发农村消费潜力，扩大内需。</w:t>
      </w:r>
    </w:p>
    <w:p w14:paraId="6ADCD633">
      <w:pPr>
        <w:spacing w:line="560" w:lineRule="exact"/>
        <w:ind w:firstLine="640" w:firstLineChars="200"/>
        <w:rPr>
          <w:rStyle w:val="18"/>
          <w:rFonts w:ascii="仿宋_GB2312" w:hAnsi="Calibri" w:eastAsia="仿宋_GB2312"/>
          <w:sz w:val="32"/>
          <w:szCs w:val="32"/>
        </w:rPr>
      </w:pPr>
      <w:r>
        <w:rPr>
          <w:rStyle w:val="18"/>
          <w:rFonts w:hint="eastAsia" w:ascii="仿宋_GB2312" w:hAnsi="Calibri" w:eastAsia="仿宋_GB2312"/>
          <w:sz w:val="32"/>
          <w:szCs w:val="32"/>
        </w:rPr>
        <w:t>增加就业机会，增加农民财产性收入。乡村振兴项目实施后，可以带动项目产业的发展，拓宽农民的就业机会和增收渠道，利用现有的种养殖业、国家级高产示范田等项目，大力开发都市农业、休闲农业、生态居住等产业，以第一产业+第三产业，引导农民利用开展多种经营，给当地富余劳动力提供就业机会，增加农民财产收入</w:t>
      </w:r>
      <w:r>
        <w:rPr>
          <w:rStyle w:val="18"/>
          <w:rFonts w:ascii="仿宋_GB2312" w:hAnsi="Calibri" w:eastAsia="仿宋_GB2312"/>
          <w:sz w:val="32"/>
          <w:szCs w:val="32"/>
        </w:rPr>
        <w:t>。</w:t>
      </w:r>
    </w:p>
    <w:p w14:paraId="51F42B4F">
      <w:pPr>
        <w:pStyle w:val="17"/>
        <w:spacing w:line="560" w:lineRule="exact"/>
        <w:ind w:firstLine="643" w:firstLineChars="200"/>
        <w:jc w:val="both"/>
        <w:rPr>
          <w:rStyle w:val="18"/>
          <w:rFonts w:ascii="楷体_GB2312" w:eastAsia="楷体_GB2312"/>
          <w:b/>
          <w:sz w:val="32"/>
          <w:szCs w:val="32"/>
        </w:rPr>
      </w:pPr>
      <w:r>
        <w:rPr>
          <w:rStyle w:val="18"/>
          <w:rFonts w:ascii="楷体_GB2312" w:eastAsia="楷体_GB2312"/>
          <w:b/>
          <w:sz w:val="32"/>
          <w:szCs w:val="32"/>
        </w:rPr>
        <w:t>（二）社会效益分析</w:t>
      </w:r>
    </w:p>
    <w:p w14:paraId="02434A2E">
      <w:pPr>
        <w:pStyle w:val="17"/>
        <w:spacing w:line="560" w:lineRule="exact"/>
        <w:ind w:firstLine="640" w:firstLineChars="200"/>
        <w:jc w:val="both"/>
        <w:rPr>
          <w:rStyle w:val="18"/>
          <w:rFonts w:hint="eastAsia" w:ascii="仿宋_GB2312" w:eastAsia="仿宋_GB2312"/>
          <w:color w:val="000000"/>
          <w:sz w:val="32"/>
          <w:szCs w:val="32"/>
        </w:rPr>
      </w:pPr>
      <w:r>
        <w:rPr>
          <w:rStyle w:val="18"/>
          <w:rFonts w:hint="eastAsia" w:ascii="仿宋_GB2312" w:eastAsia="仿宋_GB2312"/>
          <w:color w:val="000000"/>
          <w:sz w:val="32"/>
          <w:szCs w:val="32"/>
        </w:rPr>
        <w:t>通过项目的实施，将加快推进项目区现代农业和新农村建设，显著改善农业生产条件，推进乡村农业产业结构优化和调整，加快农民增收致富的步伐，增强农村经济持续发展的后劲，促进项目区农村的和谐稳定。</w:t>
      </w:r>
    </w:p>
    <w:p w14:paraId="5B4094C9">
      <w:pPr>
        <w:pStyle w:val="17"/>
        <w:spacing w:line="560" w:lineRule="exact"/>
        <w:ind w:firstLine="640" w:firstLineChars="200"/>
        <w:jc w:val="both"/>
        <w:rPr>
          <w:rStyle w:val="18"/>
          <w:rFonts w:hint="eastAsia" w:ascii="仿宋_GB2312" w:eastAsia="仿宋_GB2312"/>
          <w:color w:val="000000"/>
          <w:sz w:val="32"/>
          <w:szCs w:val="32"/>
        </w:rPr>
      </w:pPr>
      <w:r>
        <w:rPr>
          <w:rStyle w:val="18"/>
          <w:rFonts w:hint="eastAsia" w:ascii="仿宋_GB2312" w:eastAsia="仿宋_GB2312"/>
          <w:color w:val="000000"/>
          <w:sz w:val="32"/>
          <w:szCs w:val="32"/>
        </w:rPr>
        <w:t>1、项目实施完成后将有效改善耕地质量，提高土地利用率和产出率，提高土地节约、集约利用：通过农村建设用地复垦，改善了原来分散无序、粗放利用的现象，通过对农村建设用地复垦区的复耕，配套工程技术措施，新增耕地质量得到了保障。同时，结余指标用于城镇新区使用，提高了土地的利用率、产出率和节约、集约利用水平。</w:t>
      </w:r>
    </w:p>
    <w:p w14:paraId="300FF66B">
      <w:pPr>
        <w:pStyle w:val="17"/>
        <w:spacing w:line="560" w:lineRule="exact"/>
        <w:ind w:firstLine="640" w:firstLineChars="200"/>
        <w:jc w:val="both"/>
        <w:rPr>
          <w:rStyle w:val="18"/>
          <w:rFonts w:hint="eastAsia" w:ascii="仿宋_GB2312" w:eastAsia="仿宋_GB2312"/>
          <w:color w:val="000000"/>
          <w:sz w:val="32"/>
          <w:szCs w:val="32"/>
        </w:rPr>
      </w:pPr>
      <w:r>
        <w:rPr>
          <w:rStyle w:val="18"/>
          <w:rFonts w:hint="eastAsia" w:ascii="仿宋_GB2312" w:eastAsia="仿宋_GB2312"/>
          <w:color w:val="000000"/>
          <w:sz w:val="32"/>
          <w:szCs w:val="32"/>
        </w:rPr>
        <w:t>2、改善农民生活环境，提高生活质量：通过改造旧村庄，归并村庄，集约基础设施建设，提高农民居住水平和生活质量。</w:t>
      </w:r>
    </w:p>
    <w:p w14:paraId="3F155A9D">
      <w:pPr>
        <w:pStyle w:val="17"/>
        <w:spacing w:line="560" w:lineRule="exact"/>
        <w:ind w:firstLine="640" w:firstLineChars="200"/>
        <w:jc w:val="both"/>
        <w:rPr>
          <w:rStyle w:val="18"/>
          <w:rFonts w:hint="eastAsia" w:ascii="仿宋_GB2312" w:eastAsia="仿宋_GB2312"/>
          <w:color w:val="000000"/>
          <w:sz w:val="32"/>
          <w:szCs w:val="32"/>
        </w:rPr>
      </w:pPr>
      <w:r>
        <w:rPr>
          <w:rStyle w:val="18"/>
          <w:rFonts w:hint="eastAsia" w:ascii="仿宋_GB2312" w:eastAsia="仿宋_GB2312"/>
          <w:color w:val="000000"/>
          <w:sz w:val="32"/>
          <w:szCs w:val="32"/>
        </w:rPr>
        <w:t>3、增加农民收入，推动农村经济发展：项目实施结合场镇改造，通过产业结构调整，增加了项目区农民的就业机会，明晰了土地产权关系，人地矛盾得到缓和，缩小贫富差别，促进当地经济的持续发展。</w:t>
      </w:r>
    </w:p>
    <w:p w14:paraId="20530336">
      <w:pPr>
        <w:pStyle w:val="17"/>
        <w:spacing w:line="560" w:lineRule="exact"/>
        <w:ind w:firstLine="640" w:firstLineChars="200"/>
        <w:jc w:val="both"/>
        <w:rPr>
          <w:rStyle w:val="18"/>
          <w:rFonts w:hint="eastAsia" w:ascii="仿宋_GB2312" w:eastAsia="仿宋_GB2312"/>
          <w:color w:val="000000"/>
          <w:sz w:val="32"/>
          <w:szCs w:val="32"/>
        </w:rPr>
      </w:pPr>
      <w:r>
        <w:rPr>
          <w:rStyle w:val="18"/>
          <w:rFonts w:hint="eastAsia" w:ascii="仿宋_GB2312" w:eastAsia="仿宋_GB2312"/>
          <w:color w:val="000000"/>
          <w:sz w:val="32"/>
          <w:szCs w:val="32"/>
        </w:rPr>
        <w:t>4、项目实施将强化土地用途管制：通过农村建设用地集中使用，一方面可以进一步明确土地用途分区，另一方面可巩固土地利用分区成果。按照基本农田保护区规划进行整理，并结合土地利用总体规划分区要求进行其他分区建设，不仅使得在</w:t>
      </w:r>
    </w:p>
    <w:p w14:paraId="1CFA7E46">
      <w:pPr>
        <w:rPr>
          <w:rStyle w:val="18"/>
          <w:rFonts w:hint="eastAsia" w:ascii="仿宋_GB2312" w:eastAsia="仿宋_GB2312"/>
          <w:color w:val="000000"/>
          <w:sz w:val="32"/>
          <w:szCs w:val="32"/>
        </w:rPr>
      </w:pPr>
      <w:r>
        <w:rPr>
          <w:rStyle w:val="18"/>
          <w:rFonts w:hint="eastAsia" w:ascii="仿宋_GB2312" w:eastAsia="仿宋_GB2312"/>
          <w:color w:val="000000"/>
          <w:sz w:val="32"/>
          <w:szCs w:val="32"/>
        </w:rPr>
        <w:br w:type="page"/>
      </w:r>
    </w:p>
    <w:p w14:paraId="08AB8A3C">
      <w:pPr>
        <w:pStyle w:val="17"/>
        <w:spacing w:line="560" w:lineRule="exact"/>
        <w:jc w:val="both"/>
        <w:rPr>
          <w:rStyle w:val="18"/>
          <w:rFonts w:hint="eastAsia" w:ascii="仿宋_GB2312" w:eastAsia="仿宋_GB2312"/>
          <w:color w:val="000000"/>
          <w:sz w:val="32"/>
          <w:szCs w:val="32"/>
        </w:rPr>
      </w:pPr>
      <w:r>
        <w:rPr>
          <w:rStyle w:val="18"/>
          <w:rFonts w:hint="eastAsia" w:ascii="仿宋_GB2312" w:eastAsia="仿宋_GB2312"/>
          <w:color w:val="000000"/>
          <w:sz w:val="32"/>
          <w:szCs w:val="32"/>
        </w:rPr>
        <w:t>土地利用总体规划图上，而且在实际地块上土地用途分区明显分开，从而为实行土地用途管制打下坚实基础。</w:t>
      </w:r>
    </w:p>
    <w:p w14:paraId="5A1612D3">
      <w:pPr>
        <w:pStyle w:val="17"/>
        <w:spacing w:line="560" w:lineRule="exact"/>
        <w:ind w:firstLine="640" w:firstLineChars="200"/>
        <w:jc w:val="both"/>
        <w:rPr>
          <w:rStyle w:val="18"/>
          <w:rFonts w:ascii="黑体" w:hAnsi="黑体" w:eastAsia="黑体"/>
          <w:sz w:val="32"/>
          <w:szCs w:val="32"/>
        </w:rPr>
      </w:pPr>
      <w:r>
        <w:rPr>
          <w:rStyle w:val="18"/>
          <w:rFonts w:ascii="黑体" w:hAnsi="黑体" w:eastAsia="黑体"/>
          <w:sz w:val="32"/>
          <w:szCs w:val="32"/>
        </w:rPr>
        <w:t>三、项目投资估算及资金筹措方案</w:t>
      </w:r>
    </w:p>
    <w:p w14:paraId="3C574940">
      <w:pPr>
        <w:spacing w:after="120" w:line="560" w:lineRule="exact"/>
        <w:ind w:firstLine="643" w:firstLineChars="200"/>
        <w:jc w:val="left"/>
        <w:rPr>
          <w:rStyle w:val="18"/>
          <w:rFonts w:ascii="楷体_GB2312" w:eastAsia="楷体_GB2312"/>
          <w:b/>
          <w:sz w:val="32"/>
          <w:szCs w:val="32"/>
        </w:rPr>
      </w:pPr>
      <w:r>
        <w:rPr>
          <w:rStyle w:val="18"/>
          <w:rFonts w:ascii="楷体_GB2312" w:eastAsia="楷体_GB2312"/>
          <w:b/>
          <w:sz w:val="32"/>
          <w:szCs w:val="32"/>
        </w:rPr>
        <w:t>（一）投资估算</w:t>
      </w:r>
    </w:p>
    <w:p w14:paraId="569CD89E">
      <w:pPr>
        <w:spacing w:after="120" w:line="560" w:lineRule="exact"/>
        <w:ind w:firstLine="640" w:firstLineChars="200"/>
        <w:jc w:val="left"/>
        <w:rPr>
          <w:rStyle w:val="18"/>
          <w:rFonts w:ascii="仿宋_GB2312" w:hAnsi="Calibri" w:eastAsia="仿宋_GB2312"/>
          <w:sz w:val="32"/>
          <w:szCs w:val="32"/>
        </w:rPr>
      </w:pPr>
      <w:r>
        <w:rPr>
          <w:rStyle w:val="18"/>
          <w:rFonts w:ascii="仿宋_GB2312" w:hAnsi="Calibri" w:eastAsia="仿宋_GB2312"/>
          <w:sz w:val="32"/>
          <w:szCs w:val="32"/>
        </w:rPr>
        <w:t>项目总投资</w:t>
      </w:r>
      <w:r>
        <w:rPr>
          <w:rStyle w:val="18"/>
          <w:rFonts w:hint="eastAsia" w:ascii="仿宋_GB2312" w:hAnsi="Calibri" w:eastAsia="仿宋_GB2312"/>
          <w:sz w:val="32"/>
          <w:szCs w:val="32"/>
          <w:lang w:eastAsia="zh-CN"/>
        </w:rPr>
        <w:t>50120.00</w:t>
      </w:r>
      <w:r>
        <w:rPr>
          <w:rStyle w:val="18"/>
          <w:rFonts w:ascii="仿宋_GB2312" w:hAnsi="Calibri" w:eastAsia="仿宋_GB2312"/>
          <w:sz w:val="32"/>
          <w:szCs w:val="32"/>
        </w:rPr>
        <w:t>万元，其中：建设投资</w:t>
      </w:r>
      <w:r>
        <w:rPr>
          <w:rStyle w:val="18"/>
          <w:rFonts w:hint="eastAsia" w:ascii="仿宋_GB2312" w:hAnsi="Calibri" w:eastAsia="仿宋_GB2312"/>
          <w:sz w:val="32"/>
          <w:szCs w:val="32"/>
          <w:lang w:eastAsia="zh-CN"/>
        </w:rPr>
        <w:t>48271.00</w:t>
      </w:r>
      <w:r>
        <w:rPr>
          <w:rStyle w:val="18"/>
          <w:rFonts w:ascii="仿宋_GB2312" w:hAnsi="Calibri" w:eastAsia="仿宋_GB2312"/>
          <w:sz w:val="32"/>
          <w:szCs w:val="32"/>
        </w:rPr>
        <w:t>万元，建设期利息</w:t>
      </w:r>
      <w:r>
        <w:rPr>
          <w:rStyle w:val="18"/>
          <w:rFonts w:hint="eastAsia" w:ascii="仿宋_GB2312" w:hAnsi="Calibri" w:eastAsia="仿宋_GB2312"/>
          <w:sz w:val="32"/>
          <w:szCs w:val="32"/>
          <w:lang w:eastAsia="zh-CN"/>
        </w:rPr>
        <w:t>1408.00</w:t>
      </w:r>
      <w:r>
        <w:rPr>
          <w:rStyle w:val="18"/>
          <w:rFonts w:ascii="仿宋_GB2312" w:hAnsi="Calibri" w:eastAsia="仿宋_GB2312"/>
          <w:sz w:val="32"/>
          <w:szCs w:val="32"/>
        </w:rPr>
        <w:t>万元,发行费用</w:t>
      </w:r>
      <w:r>
        <w:rPr>
          <w:rStyle w:val="18"/>
          <w:rFonts w:hint="eastAsia" w:ascii="仿宋_GB2312" w:hAnsi="Calibri" w:eastAsia="仿宋_GB2312"/>
          <w:sz w:val="32"/>
          <w:szCs w:val="32"/>
          <w:lang w:eastAsia="zh-CN"/>
        </w:rPr>
        <w:t>22.00</w:t>
      </w:r>
      <w:r>
        <w:rPr>
          <w:rStyle w:val="18"/>
          <w:rFonts w:ascii="仿宋_GB2312" w:hAnsi="Calibri" w:eastAsia="仿宋_GB2312"/>
          <w:sz w:val="32"/>
          <w:szCs w:val="32"/>
        </w:rPr>
        <w:t>万元。</w:t>
      </w:r>
    </w:p>
    <w:p w14:paraId="7EDCD157">
      <w:pPr>
        <w:spacing w:after="120" w:line="560" w:lineRule="exact"/>
        <w:ind w:firstLine="643" w:firstLineChars="200"/>
        <w:jc w:val="left"/>
        <w:rPr>
          <w:rStyle w:val="18"/>
          <w:rFonts w:ascii="楷体_GB2312" w:eastAsia="楷体_GB2312"/>
          <w:b/>
          <w:sz w:val="32"/>
          <w:szCs w:val="32"/>
        </w:rPr>
      </w:pPr>
      <w:r>
        <w:rPr>
          <w:rStyle w:val="18"/>
          <w:rFonts w:ascii="楷体_GB2312" w:eastAsia="楷体_GB2312"/>
          <w:b/>
          <w:sz w:val="32"/>
          <w:szCs w:val="32"/>
        </w:rPr>
        <w:t>（二）资金筹措方案</w:t>
      </w:r>
    </w:p>
    <w:p w14:paraId="7CC91959">
      <w:pPr>
        <w:spacing w:after="120" w:line="560" w:lineRule="exact"/>
        <w:ind w:firstLine="643" w:firstLineChars="200"/>
        <w:jc w:val="left"/>
        <w:rPr>
          <w:rStyle w:val="18"/>
          <w:rFonts w:ascii="仿宋_GB2312" w:eastAsia="仿宋_GB2312"/>
          <w:b/>
          <w:sz w:val="32"/>
          <w:szCs w:val="32"/>
        </w:rPr>
      </w:pPr>
      <w:r>
        <w:rPr>
          <w:rStyle w:val="18"/>
          <w:rFonts w:ascii="仿宋_GB2312" w:eastAsia="仿宋_GB2312"/>
          <w:b/>
          <w:sz w:val="32"/>
          <w:szCs w:val="32"/>
        </w:rPr>
        <w:t>1.资金筹集情况</w:t>
      </w:r>
    </w:p>
    <w:p w14:paraId="433BE19A">
      <w:pPr>
        <w:spacing w:after="120" w:line="560" w:lineRule="exact"/>
        <w:ind w:firstLine="640" w:firstLineChars="200"/>
        <w:jc w:val="left"/>
        <w:rPr>
          <w:rStyle w:val="18"/>
          <w:rFonts w:ascii="仿宋_GB2312" w:hAnsi="Calibri" w:eastAsia="仿宋_GB2312"/>
          <w:sz w:val="32"/>
          <w:szCs w:val="32"/>
        </w:rPr>
      </w:pPr>
      <w:r>
        <w:rPr>
          <w:rStyle w:val="18"/>
          <w:rFonts w:ascii="仿宋_GB2312" w:hAnsi="Calibri" w:eastAsia="仿宋_GB2312"/>
          <w:sz w:val="32"/>
          <w:szCs w:val="32"/>
        </w:rPr>
        <w:t>总投资</w:t>
      </w:r>
      <w:r>
        <w:rPr>
          <w:rStyle w:val="18"/>
          <w:rFonts w:hint="eastAsia" w:ascii="仿宋_GB2312" w:hAnsi="Calibri" w:eastAsia="仿宋_GB2312"/>
          <w:sz w:val="32"/>
          <w:szCs w:val="32"/>
          <w:lang w:eastAsia="zh-CN"/>
        </w:rPr>
        <w:t>50120.00</w:t>
      </w:r>
      <w:r>
        <w:rPr>
          <w:rStyle w:val="18"/>
          <w:rFonts w:ascii="仿宋_GB2312" w:hAnsi="Calibri" w:eastAsia="仿宋_GB2312"/>
          <w:sz w:val="32"/>
          <w:szCs w:val="32"/>
        </w:rPr>
        <w:t>万元中，自有资金为</w:t>
      </w:r>
      <w:r>
        <w:rPr>
          <w:rStyle w:val="18"/>
          <w:rFonts w:hint="eastAsia" w:ascii="仿宋_GB2312" w:hAnsi="Calibri" w:eastAsia="仿宋_GB2312"/>
          <w:sz w:val="32"/>
          <w:szCs w:val="32"/>
          <w:lang w:eastAsia="zh-CN"/>
        </w:rPr>
        <w:t>28120.00</w:t>
      </w:r>
      <w:r>
        <w:rPr>
          <w:rStyle w:val="18"/>
          <w:rFonts w:ascii="仿宋_GB2312" w:hAnsi="Calibri" w:eastAsia="仿宋_GB2312"/>
          <w:sz w:val="32"/>
          <w:szCs w:val="32"/>
        </w:rPr>
        <w:t>万元，占比</w:t>
      </w:r>
      <w:r>
        <w:rPr>
          <w:rStyle w:val="18"/>
          <w:rFonts w:hint="eastAsia" w:ascii="仿宋_GB2312" w:hAnsi="Calibri" w:eastAsia="仿宋_GB2312"/>
          <w:sz w:val="32"/>
          <w:szCs w:val="32"/>
          <w:lang w:eastAsia="zh-CN"/>
        </w:rPr>
        <w:t>56.11%</w:t>
      </w:r>
      <w:r>
        <w:rPr>
          <w:rStyle w:val="18"/>
          <w:rFonts w:ascii="仿宋_GB2312" w:hAnsi="Calibri" w:eastAsia="仿宋_GB2312"/>
          <w:sz w:val="32"/>
          <w:szCs w:val="32"/>
        </w:rPr>
        <w:t>，拟发行债券金额</w:t>
      </w:r>
      <w:r>
        <w:rPr>
          <w:rStyle w:val="18"/>
          <w:rFonts w:hint="eastAsia" w:ascii="仿宋_GB2312" w:hAnsi="Calibri" w:eastAsia="仿宋_GB2312"/>
          <w:sz w:val="32"/>
          <w:szCs w:val="32"/>
          <w:lang w:eastAsia="zh-CN"/>
        </w:rPr>
        <w:t>22000.00</w:t>
      </w:r>
      <w:r>
        <w:rPr>
          <w:rStyle w:val="18"/>
          <w:rFonts w:ascii="仿宋_GB2312" w:hAnsi="Calibri" w:eastAsia="仿宋_GB2312"/>
          <w:sz w:val="32"/>
          <w:szCs w:val="32"/>
        </w:rPr>
        <w:t>万元，占比</w:t>
      </w:r>
      <w:r>
        <w:rPr>
          <w:rStyle w:val="18"/>
          <w:rFonts w:hint="eastAsia" w:ascii="仿宋_GB2312" w:hAnsi="Calibri" w:eastAsia="仿宋_GB2312"/>
          <w:sz w:val="32"/>
          <w:szCs w:val="32"/>
          <w:lang w:eastAsia="zh-CN"/>
        </w:rPr>
        <w:t>43.89%</w:t>
      </w:r>
      <w:r>
        <w:rPr>
          <w:rStyle w:val="18"/>
          <w:rFonts w:ascii="仿宋_GB2312" w:hAnsi="Calibri" w:eastAsia="仿宋_GB2312"/>
          <w:sz w:val="32"/>
          <w:szCs w:val="32"/>
        </w:rPr>
        <w:t>。</w:t>
      </w:r>
    </w:p>
    <w:p w14:paraId="7E1F273E">
      <w:pPr>
        <w:spacing w:after="120" w:line="560" w:lineRule="exact"/>
        <w:ind w:firstLine="640" w:firstLineChars="200"/>
        <w:jc w:val="left"/>
        <w:rPr>
          <w:rStyle w:val="18"/>
          <w:rFonts w:ascii="仿宋_GB2312" w:hAnsi="Calibri" w:eastAsia="仿宋_GB2312"/>
          <w:sz w:val="32"/>
          <w:szCs w:val="32"/>
        </w:rPr>
      </w:pPr>
      <w:r>
        <w:rPr>
          <w:rStyle w:val="18"/>
          <w:rFonts w:ascii="仿宋_GB2312" w:hAnsi="Calibri" w:eastAsia="仿宋_GB2312"/>
          <w:sz w:val="32"/>
          <w:szCs w:val="32"/>
        </w:rPr>
        <w:t>根据本项目投资估算，项目总投资为</w:t>
      </w:r>
      <w:r>
        <w:rPr>
          <w:rStyle w:val="18"/>
          <w:rFonts w:hint="eastAsia" w:ascii="仿宋_GB2312" w:hAnsi="Calibri" w:eastAsia="仿宋_GB2312"/>
          <w:sz w:val="32"/>
          <w:szCs w:val="32"/>
          <w:lang w:eastAsia="zh-CN"/>
        </w:rPr>
        <w:t>50120.00</w:t>
      </w:r>
      <w:r>
        <w:rPr>
          <w:rStyle w:val="18"/>
          <w:rFonts w:ascii="仿宋_GB2312" w:hAnsi="Calibri" w:eastAsia="仿宋_GB2312"/>
          <w:sz w:val="32"/>
          <w:szCs w:val="32"/>
        </w:rPr>
        <w:t>万元，项目资金由以下两方面筹措：</w:t>
      </w:r>
    </w:p>
    <w:p w14:paraId="070833EC">
      <w:pPr>
        <w:spacing w:after="120" w:line="560" w:lineRule="exact"/>
        <w:ind w:firstLine="640" w:firstLineChars="200"/>
        <w:jc w:val="both"/>
        <w:rPr>
          <w:rStyle w:val="18"/>
          <w:rFonts w:ascii="仿宋_GB2312" w:hAnsi="Calibri" w:eastAsia="仿宋_GB2312"/>
          <w:sz w:val="32"/>
          <w:szCs w:val="32"/>
        </w:rPr>
      </w:pPr>
      <w:r>
        <w:rPr>
          <w:rStyle w:val="18"/>
          <w:rFonts w:ascii="仿宋_GB2312" w:hAnsi="Calibri" w:eastAsia="仿宋_GB2312"/>
          <w:sz w:val="32"/>
          <w:szCs w:val="32"/>
        </w:rPr>
        <w:t>资本金：项目资本金</w:t>
      </w:r>
      <w:r>
        <w:rPr>
          <w:rStyle w:val="18"/>
          <w:rFonts w:hint="eastAsia" w:ascii="仿宋_GB2312" w:hAnsi="Calibri" w:eastAsia="仿宋_GB2312"/>
          <w:sz w:val="32"/>
          <w:szCs w:val="32"/>
          <w:lang w:eastAsia="zh-CN"/>
        </w:rPr>
        <w:t>28120.00</w:t>
      </w:r>
      <w:r>
        <w:rPr>
          <w:rStyle w:val="18"/>
          <w:rFonts w:ascii="仿宋_GB2312" w:hAnsi="Calibri" w:eastAsia="仿宋_GB2312"/>
          <w:sz w:val="32"/>
          <w:szCs w:val="32"/>
        </w:rPr>
        <w:t>万元，</w:t>
      </w:r>
      <w:r>
        <w:rPr>
          <w:rStyle w:val="18"/>
          <w:rFonts w:hint="eastAsia" w:ascii="仿宋_GB2312" w:hAnsi="Calibri" w:eastAsia="仿宋_GB2312"/>
          <w:sz w:val="32"/>
          <w:szCs w:val="32"/>
          <w:lang w:val="en-US" w:eastAsia="zh-CN"/>
        </w:rPr>
        <w:t>纳入财政预算，有财政资金落实解决</w:t>
      </w:r>
      <w:r>
        <w:rPr>
          <w:rStyle w:val="18"/>
          <w:rFonts w:ascii="仿宋_GB2312" w:hAnsi="Calibri" w:eastAsia="仿宋_GB2312"/>
          <w:sz w:val="32"/>
          <w:szCs w:val="32"/>
        </w:rPr>
        <w:t>。资本金中</w:t>
      </w:r>
      <w:r>
        <w:rPr>
          <w:rStyle w:val="18"/>
          <w:rFonts w:hint="eastAsia" w:ascii="仿宋_GB2312" w:hAnsi="Calibri" w:eastAsia="仿宋_GB2312"/>
          <w:sz w:val="32"/>
          <w:szCs w:val="32"/>
          <w:lang w:val="en-US" w:eastAsia="zh-CN"/>
        </w:rPr>
        <w:t>26690.00</w:t>
      </w:r>
      <w:r>
        <w:rPr>
          <w:rStyle w:val="18"/>
          <w:rFonts w:ascii="仿宋_GB2312" w:hAnsi="Calibri" w:eastAsia="仿宋_GB2312"/>
          <w:sz w:val="32"/>
          <w:szCs w:val="32"/>
        </w:rPr>
        <w:t>万元用于项目建设，用于建设期利息</w:t>
      </w:r>
      <w:r>
        <w:rPr>
          <w:rStyle w:val="18"/>
          <w:rFonts w:hint="eastAsia" w:ascii="仿宋_GB2312" w:hAnsi="Calibri" w:eastAsia="仿宋_GB2312"/>
          <w:sz w:val="32"/>
          <w:szCs w:val="32"/>
          <w:lang w:eastAsia="zh-CN"/>
        </w:rPr>
        <w:t>1408.00</w:t>
      </w:r>
      <w:r>
        <w:rPr>
          <w:rStyle w:val="18"/>
          <w:rFonts w:ascii="仿宋_GB2312" w:hAnsi="Calibri" w:eastAsia="仿宋_GB2312"/>
          <w:sz w:val="32"/>
          <w:szCs w:val="32"/>
        </w:rPr>
        <w:t>万元，用于专项债发行费用</w:t>
      </w:r>
      <w:r>
        <w:rPr>
          <w:rStyle w:val="18"/>
          <w:rFonts w:hint="eastAsia" w:ascii="仿宋_GB2312" w:hAnsi="Calibri" w:eastAsia="仿宋_GB2312"/>
          <w:sz w:val="32"/>
          <w:szCs w:val="32"/>
          <w:lang w:eastAsia="zh-CN"/>
        </w:rPr>
        <w:t>22.00</w:t>
      </w:r>
      <w:r>
        <w:rPr>
          <w:rStyle w:val="18"/>
          <w:rFonts w:ascii="仿宋_GB2312" w:hAnsi="Calibri" w:eastAsia="仿宋_GB2312"/>
          <w:sz w:val="32"/>
          <w:szCs w:val="32"/>
        </w:rPr>
        <w:t>万元。</w:t>
      </w:r>
    </w:p>
    <w:p w14:paraId="14A8F545">
      <w:pPr>
        <w:spacing w:after="120" w:line="560" w:lineRule="exact"/>
        <w:ind w:firstLine="640" w:firstLineChars="200"/>
        <w:jc w:val="left"/>
        <w:rPr>
          <w:rStyle w:val="18"/>
          <w:rFonts w:ascii="仿宋_GB2312" w:hAnsi="Calibri" w:eastAsia="仿宋_GB2312"/>
          <w:sz w:val="32"/>
          <w:szCs w:val="32"/>
        </w:rPr>
      </w:pPr>
      <w:r>
        <w:rPr>
          <w:rStyle w:val="18"/>
          <w:rFonts w:ascii="仿宋_GB2312" w:hAnsi="Calibri" w:eastAsia="仿宋_GB2312"/>
          <w:sz w:val="32"/>
          <w:szCs w:val="32"/>
        </w:rPr>
        <w:t>债券资金：项目拟申请专项债券资金</w:t>
      </w:r>
      <w:r>
        <w:rPr>
          <w:rStyle w:val="18"/>
          <w:rFonts w:hint="eastAsia" w:ascii="仿宋_GB2312" w:hAnsi="Calibri" w:eastAsia="仿宋_GB2312"/>
          <w:sz w:val="32"/>
          <w:szCs w:val="32"/>
          <w:lang w:eastAsia="zh-CN"/>
        </w:rPr>
        <w:t>22000.00</w:t>
      </w:r>
      <w:r>
        <w:rPr>
          <w:rStyle w:val="18"/>
          <w:rFonts w:ascii="仿宋_GB2312" w:hAnsi="Calibri" w:eastAsia="仿宋_GB2312"/>
          <w:sz w:val="32"/>
          <w:szCs w:val="32"/>
        </w:rPr>
        <w:t>万元。</w:t>
      </w:r>
    </w:p>
    <w:p w14:paraId="3610D051">
      <w:pPr>
        <w:spacing w:after="120" w:line="560" w:lineRule="exact"/>
        <w:ind w:firstLine="643" w:firstLineChars="200"/>
        <w:jc w:val="left"/>
        <w:rPr>
          <w:rStyle w:val="18"/>
          <w:rFonts w:ascii="仿宋_GB2312" w:eastAsia="仿宋_GB2312"/>
          <w:b/>
          <w:sz w:val="32"/>
          <w:szCs w:val="32"/>
        </w:rPr>
      </w:pPr>
      <w:r>
        <w:rPr>
          <w:rStyle w:val="18"/>
          <w:rFonts w:ascii="仿宋_GB2312" w:eastAsia="仿宋_GB2312"/>
          <w:b/>
          <w:sz w:val="32"/>
          <w:szCs w:val="32"/>
        </w:rPr>
        <w:t>2.资金使用计划</w:t>
      </w:r>
    </w:p>
    <w:p w14:paraId="67A3B889">
      <w:pPr>
        <w:spacing w:after="120"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项目总投资</w:t>
      </w:r>
      <w:r>
        <w:rPr>
          <w:rStyle w:val="18"/>
          <w:rFonts w:hint="eastAsia" w:ascii="仿宋_GB2312" w:hAnsi="Calibri" w:eastAsia="仿宋_GB2312"/>
          <w:sz w:val="32"/>
          <w:szCs w:val="32"/>
          <w:lang w:eastAsia="zh-CN"/>
        </w:rPr>
        <w:t>50120.00</w:t>
      </w:r>
      <w:r>
        <w:rPr>
          <w:rStyle w:val="18"/>
          <w:rFonts w:ascii="仿宋_GB2312" w:hAnsi="Calibri" w:eastAsia="仿宋_GB2312"/>
          <w:sz w:val="32"/>
          <w:szCs w:val="32"/>
        </w:rPr>
        <w:t>万元，</w:t>
      </w:r>
      <w:r>
        <w:rPr>
          <w:rStyle w:val="18"/>
          <w:rFonts w:hint="eastAsia" w:ascii="仿宋_GB2312" w:hAnsi="Calibri" w:eastAsia="仿宋_GB2312"/>
          <w:sz w:val="32"/>
          <w:szCs w:val="32"/>
        </w:rPr>
        <w:t>2023年计划投资14072.81万元，2024年计划投资22983.44万元，2025年计划投资13063.75万元</w:t>
      </w:r>
      <w:r>
        <w:rPr>
          <w:rStyle w:val="18"/>
          <w:rFonts w:ascii="仿宋_GB2312" w:hAnsi="Calibri" w:eastAsia="仿宋_GB2312"/>
          <w:sz w:val="32"/>
          <w:szCs w:val="32"/>
        </w:rPr>
        <w:t>。</w:t>
      </w:r>
    </w:p>
    <w:p w14:paraId="541FD746">
      <w:pPr>
        <w:spacing w:after="120" w:line="560" w:lineRule="exact"/>
        <w:ind w:firstLine="640" w:firstLineChars="200"/>
        <w:rPr>
          <w:rStyle w:val="18"/>
          <w:rFonts w:ascii="黑体" w:hAnsi="黑体" w:eastAsia="黑体"/>
          <w:sz w:val="32"/>
          <w:szCs w:val="32"/>
        </w:rPr>
      </w:pPr>
      <w:r>
        <w:rPr>
          <w:rStyle w:val="18"/>
          <w:rFonts w:ascii="黑体" w:hAnsi="黑体" w:eastAsia="黑体"/>
          <w:sz w:val="32"/>
          <w:szCs w:val="32"/>
        </w:rPr>
        <w:t>四、项目预期收益、成本及融资平衡情况</w:t>
      </w:r>
    </w:p>
    <w:p w14:paraId="42DA00D2">
      <w:pPr>
        <w:spacing w:after="120" w:line="560" w:lineRule="exact"/>
        <w:ind w:firstLine="643" w:firstLineChars="200"/>
        <w:rPr>
          <w:rStyle w:val="18"/>
          <w:rFonts w:ascii="楷体_GB2312" w:eastAsia="楷体_GB2312"/>
          <w:b/>
          <w:sz w:val="32"/>
          <w:szCs w:val="32"/>
        </w:rPr>
      </w:pPr>
      <w:r>
        <w:rPr>
          <w:rStyle w:val="18"/>
          <w:rFonts w:ascii="楷体_GB2312" w:eastAsia="楷体_GB2312"/>
          <w:b/>
          <w:sz w:val="32"/>
          <w:szCs w:val="32"/>
        </w:rPr>
        <w:t>（一）预期收益</w:t>
      </w:r>
    </w:p>
    <w:p w14:paraId="48BCD91C">
      <w:pPr>
        <w:spacing w:after="120" w:line="560" w:lineRule="exact"/>
        <w:ind w:firstLine="643" w:firstLineChars="200"/>
        <w:rPr>
          <w:rStyle w:val="18"/>
          <w:rFonts w:ascii="仿宋_GB2312" w:eastAsia="仿宋_GB2312"/>
          <w:b/>
          <w:sz w:val="32"/>
          <w:szCs w:val="32"/>
        </w:rPr>
      </w:pPr>
      <w:r>
        <w:rPr>
          <w:rStyle w:val="18"/>
          <w:rFonts w:ascii="仿宋_GB2312" w:eastAsia="仿宋_GB2312"/>
          <w:b/>
          <w:sz w:val="32"/>
          <w:szCs w:val="32"/>
        </w:rPr>
        <w:t>1.项目收入</w:t>
      </w:r>
    </w:p>
    <w:p w14:paraId="1167EC57">
      <w:pPr>
        <w:spacing w:after="120" w:line="560" w:lineRule="exact"/>
        <w:ind w:firstLine="640" w:firstLineChars="200"/>
        <w:rPr>
          <w:rStyle w:val="18"/>
          <w:rFonts w:ascii="仿宋_GB2312" w:hAnsi="仿宋_GB2312" w:eastAsia="仿宋_GB2312"/>
          <w:sz w:val="32"/>
          <w:szCs w:val="32"/>
        </w:rPr>
      </w:pPr>
      <w:r>
        <w:rPr>
          <w:rStyle w:val="18"/>
          <w:rFonts w:hint="eastAsia" w:ascii="仿宋_GB2312" w:hAnsi="仿宋_GB2312" w:eastAsia="仿宋_GB2312"/>
          <w:sz w:val="32"/>
          <w:szCs w:val="32"/>
        </w:rPr>
        <w:t>本期债券对应项目收入包括果蔬采摘综合体验门票收入、观光车收入、森林拓展体验收入、附属用房出租收入、商铺出租售收入、农业产业服务中心出租收入、停车位收费收入、充电桩充电服务收入、广告位出租收入、摊位出租收入、物业服务收入。各项收入单价均按市场调节价或根据同类型业务市场单价估算</w:t>
      </w:r>
      <w:r>
        <w:rPr>
          <w:rStyle w:val="18"/>
          <w:rFonts w:hint="eastAsia" w:ascii="仿宋_GB2312" w:hAnsi="仿宋_GB2312" w:eastAsia="仿宋_GB2312"/>
          <w:sz w:val="32"/>
          <w:szCs w:val="32"/>
          <w:lang w:eastAsia="zh-CN"/>
        </w:rPr>
        <w:t>。经测算，运营期内可实现项目总收入75787.83万元</w:t>
      </w:r>
      <w:r>
        <w:rPr>
          <w:rStyle w:val="18"/>
          <w:rFonts w:ascii="仿宋_GB2312" w:hAnsi="仿宋_GB2312" w:eastAsia="仿宋_GB2312"/>
          <w:sz w:val="32"/>
          <w:szCs w:val="32"/>
        </w:rPr>
        <w:t>。</w:t>
      </w:r>
    </w:p>
    <w:p w14:paraId="79EAE109">
      <w:pPr>
        <w:spacing w:after="120" w:line="560" w:lineRule="exact"/>
        <w:ind w:firstLine="643" w:firstLineChars="200"/>
        <w:rPr>
          <w:rStyle w:val="18"/>
          <w:rFonts w:ascii="仿宋_GB2312" w:eastAsia="仿宋_GB2312"/>
          <w:b/>
          <w:sz w:val="32"/>
          <w:szCs w:val="32"/>
        </w:rPr>
      </w:pPr>
      <w:r>
        <w:rPr>
          <w:rStyle w:val="18"/>
          <w:rFonts w:ascii="仿宋_GB2312" w:eastAsia="仿宋_GB2312"/>
          <w:b/>
          <w:sz w:val="32"/>
          <w:szCs w:val="32"/>
        </w:rPr>
        <w:t>2.项目成本</w:t>
      </w:r>
    </w:p>
    <w:p w14:paraId="06491032">
      <w:pPr>
        <w:spacing w:line="560" w:lineRule="exact"/>
        <w:ind w:firstLine="640" w:firstLineChars="200"/>
        <w:rPr>
          <w:rStyle w:val="18"/>
          <w:rFonts w:ascii="仿宋_GB2312" w:eastAsia="仿宋_GB2312"/>
          <w:sz w:val="28"/>
          <w:szCs w:val="24"/>
        </w:rPr>
      </w:pPr>
      <w:r>
        <w:rPr>
          <w:rStyle w:val="18"/>
          <w:rFonts w:hint="eastAsia" w:ascii="仿宋_GB2312" w:eastAsia="仿宋_GB2312"/>
          <w:sz w:val="32"/>
          <w:szCs w:val="32"/>
        </w:rPr>
        <w:t>项目总成本费用主要包括工资及福利费、修理费、外购燃料及动力费、其他费用、折旧费用、利息费用等。根据本项目可行性研究报告，结合项目所在地市场情况进行测算</w:t>
      </w:r>
      <w:r>
        <w:rPr>
          <w:rStyle w:val="18"/>
          <w:rFonts w:ascii="仿宋_GB2312" w:eastAsia="仿宋_GB2312"/>
          <w:sz w:val="32"/>
          <w:szCs w:val="32"/>
        </w:rPr>
        <w:t>，</w:t>
      </w:r>
      <w:r>
        <w:rPr>
          <w:rStyle w:val="18"/>
          <w:rFonts w:hint="eastAsia" w:ascii="仿宋_GB2312" w:eastAsia="仿宋_GB2312"/>
          <w:sz w:val="32"/>
          <w:szCs w:val="32"/>
        </w:rPr>
        <w:t>项目成本</w:t>
      </w:r>
      <w:r>
        <w:rPr>
          <w:rStyle w:val="18"/>
          <w:rFonts w:hint="eastAsia" w:ascii="仿宋_GB2312" w:eastAsia="仿宋_GB2312"/>
          <w:sz w:val="32"/>
          <w:szCs w:val="32"/>
          <w:lang w:eastAsia="zh-CN"/>
        </w:rPr>
        <w:t>45689.97</w:t>
      </w:r>
      <w:r>
        <w:rPr>
          <w:rStyle w:val="18"/>
          <w:rFonts w:hint="eastAsia" w:ascii="仿宋_GB2312" w:eastAsia="仿宋_GB2312"/>
          <w:sz w:val="32"/>
          <w:szCs w:val="32"/>
        </w:rPr>
        <w:t>万元</w:t>
      </w:r>
      <w:r>
        <w:rPr>
          <w:rStyle w:val="18"/>
          <w:rFonts w:ascii="仿宋_GB2312" w:eastAsia="仿宋_GB2312"/>
          <w:sz w:val="32"/>
          <w:szCs w:val="32"/>
        </w:rPr>
        <w:t>。</w:t>
      </w:r>
    </w:p>
    <w:p w14:paraId="7B482F93">
      <w:pPr>
        <w:spacing w:after="120" w:line="560" w:lineRule="exact"/>
        <w:ind w:firstLine="643" w:firstLineChars="200"/>
        <w:rPr>
          <w:rStyle w:val="18"/>
          <w:rFonts w:ascii="楷体_GB2312" w:eastAsia="楷体_GB2312"/>
          <w:b/>
          <w:sz w:val="32"/>
          <w:szCs w:val="32"/>
        </w:rPr>
      </w:pPr>
      <w:r>
        <w:rPr>
          <w:rStyle w:val="18"/>
          <w:rFonts w:ascii="楷体_GB2312" w:eastAsia="楷体_GB2312"/>
          <w:b/>
          <w:sz w:val="32"/>
          <w:szCs w:val="32"/>
        </w:rPr>
        <w:t>（二）资金测算平衡情况</w:t>
      </w:r>
    </w:p>
    <w:p w14:paraId="6BC247CB">
      <w:pPr>
        <w:snapToGrid w:val="0"/>
        <w:spacing w:after="217" w:line="560" w:lineRule="exact"/>
        <w:ind w:firstLine="612" w:firstLineChars="200"/>
        <w:jc w:val="both"/>
        <w:rPr>
          <w:rStyle w:val="18"/>
          <w:rFonts w:ascii="仿宋_GB2312" w:eastAsia="仿宋_GB2312"/>
          <w:spacing w:val="-7"/>
          <w:sz w:val="32"/>
          <w:szCs w:val="32"/>
        </w:rPr>
        <w:sectPr>
          <w:headerReference r:id="rId3" w:type="default"/>
          <w:footerReference r:id="rId5" w:type="default"/>
          <w:headerReference r:id="rId4" w:type="even"/>
          <w:footerReference r:id="rId6" w:type="even"/>
          <w:pgSz w:w="11906" w:h="16838"/>
          <w:pgMar w:top="2098" w:right="1418" w:bottom="1588" w:left="1644" w:header="851" w:footer="992" w:gutter="0"/>
          <w:cols w:space="425" w:num="1"/>
          <w:docGrid w:type="lines" w:linePitch="435" w:charSpace="0"/>
        </w:sectPr>
      </w:pPr>
      <w:r>
        <w:rPr>
          <w:rStyle w:val="18"/>
          <w:rFonts w:hint="eastAsia" w:ascii="仿宋_GB2312" w:eastAsia="仿宋_GB2312"/>
          <w:spacing w:val="-7"/>
          <w:sz w:val="32"/>
          <w:szCs w:val="32"/>
        </w:rPr>
        <w:t>计算期内累计资金流入125907.83万元，累计资金流出105808.96万元，累计现金结余20098.87万元。本项目22000.00万元专项债券到期时，在偿还当年到期的债券本息后，将仍有20098.87万元的累计现金结余，项目本息覆盖倍数为1.69倍，期间将不存在任何资金缺口</w:t>
      </w:r>
      <w:r>
        <w:rPr>
          <w:rStyle w:val="18"/>
          <w:rFonts w:ascii="仿宋_GB2312" w:eastAsia="仿宋_GB2312"/>
          <w:spacing w:val="-7"/>
          <w:sz w:val="32"/>
          <w:szCs w:val="32"/>
        </w:rPr>
        <w:t>。</w:t>
      </w:r>
    </w:p>
    <w:p w14:paraId="2F5CA6EA">
      <w:pPr>
        <w:spacing w:after="80" w:line="240" w:lineRule="auto"/>
        <w:ind w:firstLine="240" w:firstLineChars="100"/>
        <w:rPr>
          <w:rFonts w:hint="eastAsia" w:ascii="等线" w:hAnsi="等线" w:eastAsia="等线" w:cs="宋体"/>
          <w:b/>
          <w:bCs/>
          <w:color w:val="000000"/>
          <w:kern w:val="0"/>
          <w:sz w:val="24"/>
          <w:szCs w:val="24"/>
          <w:lang w:val="en-GB" w:bidi="ar"/>
        </w:rPr>
      </w:pPr>
      <w:bookmarkStart w:id="0" w:name="_Hlk56084709"/>
      <w:r>
        <w:rPr>
          <w:rFonts w:hint="eastAsia" w:ascii="等线" w:hAnsi="等线" w:eastAsia="等线" w:cs="宋体"/>
          <w:b/>
          <w:bCs/>
          <w:color w:val="000000"/>
          <w:kern w:val="0"/>
          <w:sz w:val="24"/>
          <w:szCs w:val="24"/>
          <w:lang w:val="en-GB" w:bidi="ar"/>
        </w:rPr>
        <w:t>附表</w:t>
      </w:r>
      <w:r>
        <w:rPr>
          <w:rFonts w:hint="eastAsia" w:ascii="等线" w:hAnsi="等线" w:eastAsia="等线" w:cs="宋体"/>
          <w:b/>
          <w:bCs/>
          <w:color w:val="000000"/>
          <w:kern w:val="0"/>
          <w:sz w:val="24"/>
          <w:szCs w:val="24"/>
          <w:lang w:val="en-US" w:eastAsia="zh-CN" w:bidi="ar"/>
        </w:rPr>
        <w:t>3</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val="en-US" w:eastAsia="zh-CN" w:bidi="ar"/>
        </w:rPr>
        <w:t>1</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GB" w:bidi="ar"/>
        </w:rPr>
        <w:t>项目资金测算平衡表</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bidi="ar"/>
        </w:rPr>
        <w:t>金额</w:t>
      </w:r>
      <w:r>
        <w:rPr>
          <w:rFonts w:hint="eastAsia" w:ascii="等线" w:hAnsi="等线" w:eastAsia="等线" w:cs="宋体"/>
          <w:b/>
          <w:bCs/>
          <w:color w:val="000000"/>
          <w:kern w:val="0"/>
          <w:sz w:val="24"/>
          <w:szCs w:val="24"/>
          <w:lang w:val="en-GB" w:bidi="ar"/>
        </w:rPr>
        <w:t>单位：万元）</w:t>
      </w:r>
    </w:p>
    <w:tbl>
      <w:tblPr>
        <w:tblStyle w:val="10"/>
        <w:tblW w:w="1439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54"/>
        <w:gridCol w:w="1351"/>
        <w:gridCol w:w="1116"/>
        <w:gridCol w:w="1116"/>
        <w:gridCol w:w="1116"/>
        <w:gridCol w:w="1005"/>
        <w:gridCol w:w="1005"/>
        <w:gridCol w:w="1005"/>
        <w:gridCol w:w="1005"/>
        <w:gridCol w:w="1005"/>
        <w:gridCol w:w="1005"/>
        <w:gridCol w:w="1005"/>
        <w:gridCol w:w="1005"/>
        <w:gridCol w:w="1005"/>
      </w:tblGrid>
      <w:tr w14:paraId="043B7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654" w:type="dxa"/>
            <w:tcBorders>
              <w:top w:val="single" w:color="000000" w:sz="4" w:space="0"/>
              <w:bottom w:val="single" w:color="000000" w:sz="4" w:space="0"/>
              <w:right w:val="single" w:color="000000" w:sz="4" w:space="0"/>
            </w:tcBorders>
            <w:noWrap w:val="0"/>
            <w:vAlign w:val="center"/>
          </w:tcPr>
          <w:p w14:paraId="0691A38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序号</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7D7A89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项目</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1891E0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2023</w:t>
            </w:r>
            <w:r>
              <w:rPr>
                <w:rFonts w:hint="eastAsia" w:ascii="Times New Roman" w:hAnsi="Times New Roman" w:eastAsia="宋体" w:cs="Times New Roman"/>
                <w:i w:val="0"/>
                <w:iCs w:val="0"/>
                <w:color w:val="000000"/>
                <w:kern w:val="0"/>
                <w:sz w:val="18"/>
                <w:szCs w:val="18"/>
                <w:u w:val="none"/>
                <w:lang w:val="en-US" w:eastAsia="zh-CN" w:bidi="ar"/>
              </w:rPr>
              <w:t>年</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2B42B9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2024</w:t>
            </w:r>
            <w:r>
              <w:rPr>
                <w:rFonts w:hint="eastAsia" w:ascii="Times New Roman" w:hAnsi="Times New Roman" w:eastAsia="宋体" w:cs="Times New Roman"/>
                <w:i w:val="0"/>
                <w:iCs w:val="0"/>
                <w:color w:val="000000"/>
                <w:kern w:val="0"/>
                <w:sz w:val="18"/>
                <w:szCs w:val="18"/>
                <w:u w:val="none"/>
                <w:lang w:val="en-US" w:eastAsia="zh-CN" w:bidi="ar"/>
              </w:rPr>
              <w:t>年</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77ABC4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2025</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A8ECF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2026</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7E40B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2027</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C3C3C1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2028</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8B83C2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2029</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752085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2030</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777861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2031</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1D6832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2032</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F2BD25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2033</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5" w:type="dxa"/>
            <w:tcBorders>
              <w:top w:val="single" w:color="000000" w:sz="4" w:space="0"/>
              <w:left w:val="single" w:color="000000" w:sz="4" w:space="0"/>
              <w:bottom w:val="single" w:color="000000" w:sz="4" w:space="0"/>
            </w:tcBorders>
            <w:noWrap w:val="0"/>
            <w:vAlign w:val="center"/>
          </w:tcPr>
          <w:p w14:paraId="03EC9D5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2034</w:t>
            </w:r>
            <w:r>
              <w:rPr>
                <w:rFonts w:hint="eastAsia" w:ascii="Times New Roman" w:hAnsi="Times New Roman" w:eastAsia="宋体" w:cs="Times New Roman"/>
                <w:i w:val="0"/>
                <w:iCs w:val="0"/>
                <w:color w:val="000000"/>
                <w:kern w:val="0"/>
                <w:sz w:val="18"/>
                <w:szCs w:val="18"/>
                <w:u w:val="none"/>
                <w:lang w:val="en-US" w:eastAsia="zh-CN" w:bidi="ar"/>
              </w:rPr>
              <w:t>年</w:t>
            </w:r>
          </w:p>
        </w:tc>
      </w:tr>
      <w:tr w14:paraId="42EFE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70B6385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一</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2762BF6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资金来源</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22D30A5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14072.81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3E19B9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22983.44</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1B9378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13063.75</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A23C6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1727.12</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CF4975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1893.34</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D4A324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2076.10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2CF215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2222.95</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5657ED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2368.61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6981CE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2533.21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C293B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2705.22</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7432D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2892.26</w:t>
            </w:r>
          </w:p>
        </w:tc>
        <w:tc>
          <w:tcPr>
            <w:tcW w:w="1005" w:type="dxa"/>
            <w:tcBorders>
              <w:top w:val="single" w:color="000000" w:sz="4" w:space="0"/>
              <w:left w:val="single" w:color="000000" w:sz="4" w:space="0"/>
              <w:bottom w:val="single" w:color="000000" w:sz="4" w:space="0"/>
            </w:tcBorders>
            <w:noWrap w:val="0"/>
            <w:vAlign w:val="center"/>
          </w:tcPr>
          <w:p w14:paraId="659B1F4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3102.30</w:t>
            </w:r>
          </w:p>
        </w:tc>
      </w:tr>
      <w:tr w14:paraId="17E70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5E0605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03FF914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自有资金</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5E7660F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7572.81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400146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13983.44</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0EA6EB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6563.75</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F4F8A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10594B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7FD507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F07D17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FC4DA4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2C519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9ADAA7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CF93DB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tcBorders>
            <w:noWrap w:val="0"/>
            <w:vAlign w:val="center"/>
          </w:tcPr>
          <w:p w14:paraId="6153B0C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r>
      <w:tr w14:paraId="4DAEB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18DB84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0FF8040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项目收入</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115F549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248F99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3919966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D3CA48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1727.12</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6E08A5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1893.34</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CF646C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2076.10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2C015E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2222.95</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54786D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2368.61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9145A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2533.21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A04D3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2705.22</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DD4A4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2892.26</w:t>
            </w:r>
          </w:p>
        </w:tc>
        <w:tc>
          <w:tcPr>
            <w:tcW w:w="1005" w:type="dxa"/>
            <w:tcBorders>
              <w:top w:val="single" w:color="000000" w:sz="4" w:space="0"/>
              <w:left w:val="single" w:color="000000" w:sz="4" w:space="0"/>
              <w:bottom w:val="single" w:color="000000" w:sz="4" w:space="0"/>
            </w:tcBorders>
            <w:noWrap w:val="0"/>
            <w:vAlign w:val="center"/>
          </w:tcPr>
          <w:p w14:paraId="642ACEB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3102.30</w:t>
            </w:r>
          </w:p>
        </w:tc>
      </w:tr>
      <w:tr w14:paraId="44CBD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118B03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6F77A9F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财政补贴</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226EE3D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2FF00D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063C732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47C5C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121364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61A89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0AA929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7EBC6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77806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1D1F7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78EDC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tcBorders>
            <w:noWrap w:val="0"/>
            <w:vAlign w:val="center"/>
          </w:tcPr>
          <w:p w14:paraId="4AEF0FB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r>
      <w:tr w14:paraId="7F63B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jc w:val="center"/>
        </w:trPr>
        <w:tc>
          <w:tcPr>
            <w:tcW w:w="654" w:type="dxa"/>
            <w:tcBorders>
              <w:top w:val="single" w:color="000000" w:sz="4" w:space="0"/>
              <w:bottom w:val="single" w:color="000000" w:sz="4" w:space="0"/>
              <w:right w:val="single" w:color="000000" w:sz="4" w:space="0"/>
            </w:tcBorders>
            <w:noWrap w:val="0"/>
            <w:vAlign w:val="center"/>
          </w:tcPr>
          <w:p w14:paraId="41A5A51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52BAB7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专项债券</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3E0940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6500.00</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39D654D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9000.00</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12C7292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6500.00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144CB7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2FD1D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C951B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56163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72E3A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58982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BEEA6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4095B0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tcBorders>
            <w:noWrap w:val="0"/>
            <w:vAlign w:val="center"/>
          </w:tcPr>
          <w:p w14:paraId="379409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r>
      <w:tr w14:paraId="723B6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1ED1F3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二</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5B14A5B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资金运用</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6B7180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14072.81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623D28F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22983.44</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1298ADB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13063.75</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766857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1192.13</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3B4048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1213.01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A24A3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1235.61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704C9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1255.80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86AE1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1276.29</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E0D307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1298.70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C4F3B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1321.88</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B6083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1346.54</w:t>
            </w:r>
          </w:p>
        </w:tc>
        <w:tc>
          <w:tcPr>
            <w:tcW w:w="1005" w:type="dxa"/>
            <w:tcBorders>
              <w:top w:val="single" w:color="000000" w:sz="4" w:space="0"/>
              <w:left w:val="single" w:color="000000" w:sz="4" w:space="0"/>
              <w:bottom w:val="single" w:color="000000" w:sz="4" w:space="0"/>
            </w:tcBorders>
            <w:noWrap w:val="0"/>
            <w:vAlign w:val="center"/>
          </w:tcPr>
          <w:p w14:paraId="542BFAF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1373.47</w:t>
            </w:r>
          </w:p>
        </w:tc>
      </w:tr>
      <w:tr w14:paraId="20200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075CA61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6D6449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项目投资</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548D8B3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14072.81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1291FA4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22983.44</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0DFA8B2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13063.75</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04FC4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B09BBC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597D14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7420B3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226CA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4720F8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317757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C62039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tcBorders>
            <w:noWrap w:val="0"/>
            <w:vAlign w:val="center"/>
          </w:tcPr>
          <w:p w14:paraId="66DF8F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r>
      <w:tr w14:paraId="22E03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30FEA0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328D4D6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建设投资</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71CBB21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13858.31</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418578D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22478.44</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70FE48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12353.25</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304140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AE3B76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DEA2DE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313BC9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11903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E1BD7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0A228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A7DD5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tcBorders>
            <w:noWrap w:val="0"/>
            <w:vAlign w:val="center"/>
          </w:tcPr>
          <w:p w14:paraId="7B55F1C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r>
      <w:tr w14:paraId="00B90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654" w:type="dxa"/>
            <w:tcBorders>
              <w:top w:val="single" w:color="000000" w:sz="4" w:space="0"/>
              <w:bottom w:val="single" w:color="000000" w:sz="4" w:space="0"/>
              <w:right w:val="single" w:color="000000" w:sz="4" w:space="0"/>
            </w:tcBorders>
            <w:noWrap w:val="0"/>
            <w:vAlign w:val="center"/>
          </w:tcPr>
          <w:p w14:paraId="33D2A4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7588294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建设期利息</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7F5F69E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208.00</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641A7EF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496.00</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568E6B3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B46AD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89DB9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3F309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0BFA8E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F72B4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8443C6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D84823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2FAEC6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tcBorders>
            <w:noWrap w:val="0"/>
            <w:vAlign w:val="center"/>
          </w:tcPr>
          <w:p w14:paraId="584E69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r>
      <w:tr w14:paraId="50CB0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1A5528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4A550A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发行费用</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015048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6.50</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1B75EE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9.00</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5E5AAEF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6.50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9B02C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D6334B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81B629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64ECCA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D02D45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40F2A7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D2048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A62D43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tcBorders>
            <w:noWrap w:val="0"/>
            <w:vAlign w:val="center"/>
          </w:tcPr>
          <w:p w14:paraId="053B82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r>
      <w:tr w14:paraId="1E6FE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46760B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38736B8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运营成本</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0305247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4B09C60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6DD31B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6B9D0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488.13</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08A7DE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509.01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23D8DE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531.61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D06B89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551.80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DF3BB6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572.29</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FE2FB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594.70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0A901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617.88</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CF988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642.54</w:t>
            </w:r>
          </w:p>
        </w:tc>
        <w:tc>
          <w:tcPr>
            <w:tcW w:w="1005" w:type="dxa"/>
            <w:tcBorders>
              <w:top w:val="single" w:color="000000" w:sz="4" w:space="0"/>
              <w:left w:val="single" w:color="000000" w:sz="4" w:space="0"/>
              <w:bottom w:val="single" w:color="000000" w:sz="4" w:space="0"/>
            </w:tcBorders>
            <w:noWrap w:val="0"/>
            <w:vAlign w:val="center"/>
          </w:tcPr>
          <w:p w14:paraId="50CC0A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669.47</w:t>
            </w:r>
          </w:p>
        </w:tc>
      </w:tr>
      <w:tr w14:paraId="51769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62C0A06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2.1</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49CFE4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销售税费</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3CF4414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0A5D10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5F4BAE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F39EF4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169.74</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F8397B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183.87</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08520C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199.22</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FBFFA3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212.54</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E1C3DC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226.01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E213A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240.84</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E60E23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256.40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0EE5AF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273.12</w:t>
            </w:r>
          </w:p>
        </w:tc>
        <w:tc>
          <w:tcPr>
            <w:tcW w:w="1005" w:type="dxa"/>
            <w:tcBorders>
              <w:top w:val="single" w:color="000000" w:sz="4" w:space="0"/>
              <w:left w:val="single" w:color="000000" w:sz="4" w:space="0"/>
              <w:bottom w:val="single" w:color="000000" w:sz="4" w:space="0"/>
            </w:tcBorders>
            <w:noWrap w:val="0"/>
            <w:vAlign w:val="center"/>
          </w:tcPr>
          <w:p w14:paraId="0368376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291.51</w:t>
            </w:r>
          </w:p>
        </w:tc>
      </w:tr>
      <w:tr w14:paraId="13626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3536DD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28338D5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经营成本</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0B60E2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2ED7D97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1C3A342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908A92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318.39</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32D22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325.14</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5B001F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332.39</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AEAAF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339.26</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6713D6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346.28</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B3216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353.86</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09778D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361.48</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FBE35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369.42</w:t>
            </w:r>
          </w:p>
        </w:tc>
        <w:tc>
          <w:tcPr>
            <w:tcW w:w="1005" w:type="dxa"/>
            <w:tcBorders>
              <w:top w:val="single" w:color="000000" w:sz="4" w:space="0"/>
              <w:left w:val="single" w:color="000000" w:sz="4" w:space="0"/>
              <w:bottom w:val="single" w:color="000000" w:sz="4" w:space="0"/>
            </w:tcBorders>
            <w:noWrap w:val="0"/>
            <w:vAlign w:val="center"/>
          </w:tcPr>
          <w:p w14:paraId="18E481A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377.96</w:t>
            </w:r>
          </w:p>
        </w:tc>
      </w:tr>
      <w:tr w14:paraId="38517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jc w:val="center"/>
        </w:trPr>
        <w:tc>
          <w:tcPr>
            <w:tcW w:w="654" w:type="dxa"/>
            <w:tcBorders>
              <w:top w:val="single" w:color="000000" w:sz="4" w:space="0"/>
              <w:bottom w:val="single" w:color="000000" w:sz="4" w:space="0"/>
              <w:right w:val="single" w:color="000000" w:sz="4" w:space="0"/>
            </w:tcBorders>
            <w:noWrap w:val="0"/>
            <w:vAlign w:val="center"/>
          </w:tcPr>
          <w:p w14:paraId="186F57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0AC771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所得税</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4032173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3D07547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2BAFBE2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BA213B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5BD83D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6627DC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BB145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0EFF6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CB485C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0D0FE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31660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tcBorders>
            <w:noWrap w:val="0"/>
            <w:vAlign w:val="center"/>
          </w:tcPr>
          <w:p w14:paraId="57FF4DB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r>
      <w:tr w14:paraId="26FA9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654" w:type="dxa"/>
            <w:tcBorders>
              <w:top w:val="single" w:color="000000" w:sz="4" w:space="0"/>
              <w:bottom w:val="single" w:color="000000" w:sz="4" w:space="0"/>
              <w:right w:val="single" w:color="000000" w:sz="4" w:space="0"/>
            </w:tcBorders>
            <w:noWrap w:val="0"/>
            <w:vAlign w:val="center"/>
          </w:tcPr>
          <w:p w14:paraId="097C8C2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45C5530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偿还债券本金</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168B80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0B38B7A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1579BC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59254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B5037F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946CB3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B38C2F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53865A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7EA20E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95DE07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794A4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tcBorders>
            <w:noWrap w:val="0"/>
            <w:vAlign w:val="center"/>
          </w:tcPr>
          <w:p w14:paraId="76B4BC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r>
      <w:tr w14:paraId="76CC9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654" w:type="dxa"/>
            <w:tcBorders>
              <w:top w:val="single" w:color="000000" w:sz="4" w:space="0"/>
              <w:bottom w:val="single" w:color="000000" w:sz="4" w:space="0"/>
              <w:right w:val="single" w:color="000000" w:sz="4" w:space="0"/>
            </w:tcBorders>
            <w:noWrap w:val="0"/>
            <w:vAlign w:val="center"/>
          </w:tcPr>
          <w:p w14:paraId="0B5267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1351" w:type="dxa"/>
            <w:tcBorders>
              <w:top w:val="single" w:color="000000" w:sz="4" w:space="0"/>
              <w:left w:val="single" w:color="000000" w:sz="4" w:space="0"/>
              <w:bottom w:val="single" w:color="000000" w:sz="4" w:space="0"/>
              <w:right w:val="single" w:color="000000" w:sz="4" w:space="0"/>
            </w:tcBorders>
            <w:noWrap w:val="0"/>
            <w:vAlign w:val="center"/>
          </w:tcPr>
          <w:p w14:paraId="0D297C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支付债券利息</w:t>
            </w: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217D10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6DBF78F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16" w:type="dxa"/>
            <w:tcBorders>
              <w:top w:val="single" w:color="000000" w:sz="4" w:space="0"/>
              <w:left w:val="single" w:color="000000" w:sz="4" w:space="0"/>
              <w:bottom w:val="single" w:color="000000" w:sz="4" w:space="0"/>
              <w:right w:val="single" w:color="000000" w:sz="4" w:space="0"/>
            </w:tcBorders>
            <w:noWrap w:val="0"/>
            <w:vAlign w:val="center"/>
          </w:tcPr>
          <w:p w14:paraId="59B4E18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099BD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7A8E0B3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1FD2B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5D98D9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FD7C84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0A801D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F99417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AF90B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5" w:type="dxa"/>
            <w:tcBorders>
              <w:top w:val="single" w:color="000000" w:sz="4" w:space="0"/>
              <w:left w:val="single" w:color="000000" w:sz="4" w:space="0"/>
              <w:bottom w:val="single" w:color="000000" w:sz="4" w:space="0"/>
            </w:tcBorders>
            <w:noWrap w:val="0"/>
            <w:vAlign w:val="center"/>
          </w:tcPr>
          <w:p w14:paraId="6C7E270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r>
      <w:tr w14:paraId="77C29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8" w:hRule="atLeast"/>
          <w:jc w:val="center"/>
        </w:trPr>
        <w:tc>
          <w:tcPr>
            <w:tcW w:w="654" w:type="dxa"/>
            <w:tcBorders>
              <w:top w:val="single" w:color="000000" w:sz="4" w:space="0"/>
              <w:bottom w:val="single" w:color="000000" w:sz="4" w:space="0"/>
              <w:right w:val="single" w:color="000000" w:sz="4" w:space="0"/>
            </w:tcBorders>
            <w:shd w:val="clear" w:color="auto" w:fill="auto"/>
            <w:noWrap w:val="0"/>
            <w:vAlign w:val="center"/>
          </w:tcPr>
          <w:p w14:paraId="5FE7C28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三</w:t>
            </w:r>
          </w:p>
        </w:tc>
        <w:tc>
          <w:tcPr>
            <w:tcW w:w="135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A67C85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盈余资金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B7D02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A3C7A3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D960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53808FE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534.99</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678CE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680.33</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4D676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840.49</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47F1CF6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967.15</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EC7810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1092.32</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12BB2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1234.51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262AF9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1383.34</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606D7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1545.72</w:t>
            </w:r>
          </w:p>
        </w:tc>
        <w:tc>
          <w:tcPr>
            <w:tcW w:w="1005" w:type="dxa"/>
            <w:tcBorders>
              <w:top w:val="single" w:color="000000" w:sz="4" w:space="0"/>
              <w:left w:val="single" w:color="000000" w:sz="4" w:space="0"/>
              <w:bottom w:val="single" w:color="000000" w:sz="4" w:space="0"/>
            </w:tcBorders>
            <w:noWrap w:val="0"/>
            <w:vAlign w:val="center"/>
          </w:tcPr>
          <w:p w14:paraId="4E37BF3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1728.83</w:t>
            </w:r>
          </w:p>
        </w:tc>
      </w:tr>
      <w:tr w14:paraId="6D9A3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 w:hRule="atLeast"/>
          <w:jc w:val="center"/>
        </w:trPr>
        <w:tc>
          <w:tcPr>
            <w:tcW w:w="654" w:type="dxa"/>
            <w:tcBorders>
              <w:top w:val="single" w:color="000000" w:sz="4" w:space="0"/>
              <w:bottom w:val="single" w:color="000000" w:sz="4" w:space="0"/>
              <w:right w:val="single" w:color="000000" w:sz="4" w:space="0"/>
            </w:tcBorders>
            <w:shd w:val="clear" w:color="auto" w:fill="auto"/>
            <w:noWrap w:val="0"/>
            <w:vAlign w:val="center"/>
          </w:tcPr>
          <w:p w14:paraId="280055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四</w:t>
            </w:r>
          </w:p>
        </w:tc>
        <w:tc>
          <w:tcPr>
            <w:tcW w:w="1351"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A3D6C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累计盈余资金</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399942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DBCCD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11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62C08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23AABA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534.99</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1E23D9A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1215.32</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0B56C6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2055.81</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38131E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3022.96</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24FA991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4115.28</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36BAC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5349.79</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365DD1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6733.13</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14:paraId="6F5F0FF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8278.85</w:t>
            </w:r>
          </w:p>
        </w:tc>
        <w:tc>
          <w:tcPr>
            <w:tcW w:w="1005" w:type="dxa"/>
            <w:tcBorders>
              <w:top w:val="single" w:color="000000" w:sz="4" w:space="0"/>
              <w:left w:val="single" w:color="000000" w:sz="4" w:space="0"/>
              <w:bottom w:val="single" w:color="000000" w:sz="4" w:space="0"/>
            </w:tcBorders>
            <w:noWrap w:val="0"/>
            <w:vAlign w:val="center"/>
          </w:tcPr>
          <w:p w14:paraId="3E628E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10007.68</w:t>
            </w:r>
          </w:p>
        </w:tc>
      </w:tr>
    </w:tbl>
    <w:p w14:paraId="6823F4B9">
      <w:pPr>
        <w:spacing w:after="80" w:line="240" w:lineRule="auto"/>
        <w:ind w:firstLine="240" w:firstLineChars="100"/>
        <w:rPr>
          <w:rFonts w:hint="eastAsia" w:ascii="等线" w:hAnsi="等线" w:eastAsia="等线" w:cs="宋体"/>
          <w:b/>
          <w:bCs/>
          <w:color w:val="000000"/>
          <w:kern w:val="0"/>
          <w:sz w:val="24"/>
          <w:szCs w:val="24"/>
          <w:lang w:val="en-GB" w:bidi="ar"/>
        </w:rPr>
      </w:pPr>
    </w:p>
    <w:p w14:paraId="124445B8">
      <w:pPr>
        <w:spacing w:after="80" w:line="240" w:lineRule="auto"/>
        <w:ind w:firstLine="240" w:firstLineChars="100"/>
        <w:rPr>
          <w:rFonts w:hint="eastAsia" w:ascii="等线" w:hAnsi="等线" w:eastAsia="等线" w:cs="宋体"/>
          <w:b/>
          <w:bCs/>
          <w:color w:val="000000"/>
          <w:kern w:val="0"/>
          <w:sz w:val="24"/>
          <w:szCs w:val="24"/>
          <w:lang w:val="en-GB" w:bidi="ar"/>
        </w:rPr>
      </w:pPr>
    </w:p>
    <w:bookmarkEnd w:id="0"/>
    <w:p w14:paraId="32756A8A">
      <w:pPr>
        <w:spacing w:after="80" w:line="240" w:lineRule="auto"/>
        <w:ind w:firstLine="240" w:firstLineChars="100"/>
        <w:rPr>
          <w:rFonts w:hint="eastAsia" w:ascii="等线" w:hAnsi="等线" w:eastAsia="等线" w:cs="宋体"/>
          <w:b/>
          <w:bCs/>
          <w:color w:val="000000"/>
          <w:kern w:val="0"/>
          <w:sz w:val="24"/>
          <w:szCs w:val="24"/>
          <w:lang w:val="en-GB" w:bidi="ar"/>
        </w:rPr>
      </w:pPr>
      <w:r>
        <w:rPr>
          <w:rFonts w:hint="eastAsia" w:ascii="等线" w:hAnsi="等线" w:eastAsia="等线" w:cs="宋体"/>
          <w:b/>
          <w:bCs/>
          <w:color w:val="000000"/>
          <w:kern w:val="0"/>
          <w:sz w:val="24"/>
          <w:szCs w:val="24"/>
          <w:lang w:val="en-US" w:eastAsia="zh-CN" w:bidi="ar"/>
        </w:rPr>
        <w:t>续</w:t>
      </w:r>
      <w:r>
        <w:rPr>
          <w:rFonts w:hint="eastAsia" w:ascii="等线" w:hAnsi="等线" w:eastAsia="等线" w:cs="宋体"/>
          <w:b/>
          <w:bCs/>
          <w:color w:val="000000"/>
          <w:kern w:val="0"/>
          <w:sz w:val="24"/>
          <w:szCs w:val="24"/>
          <w:lang w:val="en-GB" w:bidi="ar"/>
        </w:rPr>
        <w:t>表</w:t>
      </w:r>
      <w:r>
        <w:rPr>
          <w:rFonts w:hint="eastAsia" w:ascii="等线" w:hAnsi="等线" w:eastAsia="等线" w:cs="宋体"/>
          <w:b/>
          <w:bCs/>
          <w:color w:val="000000"/>
          <w:kern w:val="0"/>
          <w:sz w:val="24"/>
          <w:szCs w:val="24"/>
          <w:lang w:val="en-US" w:eastAsia="zh-CN" w:bidi="ar"/>
        </w:rPr>
        <w:t>3</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val="en-US" w:eastAsia="zh-CN" w:bidi="ar"/>
        </w:rPr>
        <w:t>1</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GB" w:bidi="ar"/>
        </w:rPr>
        <w:t>项目资金测算平衡表</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US" w:eastAsia="zh-CN" w:bidi="ar"/>
        </w:rPr>
        <w:t xml:space="preserve">         </w:t>
      </w:r>
      <w:r>
        <w:rPr>
          <w:rFonts w:hint="eastAsia" w:ascii="等线" w:hAnsi="等线" w:eastAsia="等线" w:cs="宋体"/>
          <w:b/>
          <w:bCs/>
          <w:color w:val="000000"/>
          <w:kern w:val="0"/>
          <w:sz w:val="24"/>
          <w:szCs w:val="24"/>
          <w:lang w:bidi="ar"/>
        </w:rPr>
        <w:t xml:space="preserve">   </w:t>
      </w:r>
      <w:r>
        <w:rPr>
          <w:rFonts w:hint="eastAsia" w:ascii="等线" w:hAnsi="等线" w:eastAsia="等线" w:cs="宋体"/>
          <w:b/>
          <w:bCs/>
          <w:color w:val="000000"/>
          <w:kern w:val="0"/>
          <w:sz w:val="24"/>
          <w:szCs w:val="24"/>
          <w:lang w:val="en-GB" w:bidi="ar"/>
        </w:rPr>
        <w:t>（</w:t>
      </w:r>
      <w:r>
        <w:rPr>
          <w:rFonts w:hint="eastAsia" w:ascii="等线" w:hAnsi="等线" w:eastAsia="等线" w:cs="宋体"/>
          <w:b/>
          <w:bCs/>
          <w:color w:val="000000"/>
          <w:kern w:val="0"/>
          <w:sz w:val="24"/>
          <w:szCs w:val="24"/>
          <w:lang w:bidi="ar"/>
        </w:rPr>
        <w:t>金额</w:t>
      </w:r>
      <w:r>
        <w:rPr>
          <w:rFonts w:hint="eastAsia" w:ascii="等线" w:hAnsi="等线" w:eastAsia="等线" w:cs="宋体"/>
          <w:b/>
          <w:bCs/>
          <w:color w:val="000000"/>
          <w:kern w:val="0"/>
          <w:sz w:val="24"/>
          <w:szCs w:val="24"/>
          <w:lang w:val="en-GB" w:bidi="ar"/>
        </w:rPr>
        <w:t>单位：万元）</w:t>
      </w:r>
    </w:p>
    <w:tbl>
      <w:tblPr>
        <w:tblStyle w:val="10"/>
        <w:tblW w:w="14453"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56"/>
        <w:gridCol w:w="1356"/>
        <w:gridCol w:w="1120"/>
        <w:gridCol w:w="1120"/>
        <w:gridCol w:w="1120"/>
        <w:gridCol w:w="1009"/>
        <w:gridCol w:w="1009"/>
        <w:gridCol w:w="1009"/>
        <w:gridCol w:w="1009"/>
        <w:gridCol w:w="1009"/>
        <w:gridCol w:w="1009"/>
        <w:gridCol w:w="1009"/>
        <w:gridCol w:w="1009"/>
        <w:gridCol w:w="1009"/>
      </w:tblGrid>
      <w:tr w14:paraId="19D34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656" w:type="dxa"/>
            <w:tcBorders>
              <w:top w:val="single" w:color="000000" w:sz="4" w:space="0"/>
              <w:bottom w:val="single" w:color="000000" w:sz="4" w:space="0"/>
              <w:right w:val="single" w:color="000000" w:sz="4" w:space="0"/>
            </w:tcBorders>
            <w:noWrap w:val="0"/>
            <w:vAlign w:val="center"/>
          </w:tcPr>
          <w:p w14:paraId="145BEF0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序号</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46CE47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项目</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BB3CAE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2035</w:t>
            </w:r>
            <w:r>
              <w:rPr>
                <w:rFonts w:hint="eastAsia" w:ascii="Times New Roman" w:hAnsi="Times New Roman" w:eastAsia="宋体" w:cs="Times New Roman"/>
                <w:i w:val="0"/>
                <w:iCs w:val="0"/>
                <w:color w:val="000000"/>
                <w:kern w:val="0"/>
                <w:sz w:val="18"/>
                <w:szCs w:val="18"/>
                <w:u w:val="none"/>
                <w:lang w:val="en-US" w:eastAsia="zh-CN" w:bidi="ar"/>
              </w:rPr>
              <w:t>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21C063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2036</w:t>
            </w:r>
            <w:r>
              <w:rPr>
                <w:rFonts w:hint="eastAsia" w:ascii="Times New Roman" w:hAnsi="Times New Roman" w:eastAsia="宋体" w:cs="Times New Roman"/>
                <w:i w:val="0"/>
                <w:iCs w:val="0"/>
                <w:color w:val="000000"/>
                <w:kern w:val="0"/>
                <w:sz w:val="18"/>
                <w:szCs w:val="18"/>
                <w:u w:val="none"/>
                <w:lang w:val="en-US" w:eastAsia="zh-CN" w:bidi="ar"/>
              </w:rPr>
              <w:t>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075197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2037</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789524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2038</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EB431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2039</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911C8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2040</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8363CC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2041</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162E1C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2042</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1197C1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2043</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554EA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2044</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506D1E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2045</w:t>
            </w:r>
            <w:r>
              <w:rPr>
                <w:rFonts w:hint="eastAsia" w:ascii="Times New Roman" w:hAnsi="Times New Roman" w:eastAsia="宋体" w:cs="Times New Roman"/>
                <w:i w:val="0"/>
                <w:iCs w:val="0"/>
                <w:color w:val="000000"/>
                <w:kern w:val="0"/>
                <w:sz w:val="18"/>
                <w:szCs w:val="18"/>
                <w:u w:val="none"/>
                <w:lang w:val="en-US" w:eastAsia="zh-CN" w:bidi="ar"/>
              </w:rPr>
              <w:t>年</w:t>
            </w:r>
          </w:p>
        </w:tc>
        <w:tc>
          <w:tcPr>
            <w:tcW w:w="1009" w:type="dxa"/>
            <w:tcBorders>
              <w:top w:val="single" w:color="000000" w:sz="4" w:space="0"/>
              <w:left w:val="single" w:color="000000" w:sz="4" w:space="0"/>
              <w:bottom w:val="single" w:color="000000" w:sz="4" w:space="0"/>
            </w:tcBorders>
            <w:noWrap w:val="0"/>
            <w:vAlign w:val="center"/>
          </w:tcPr>
          <w:p w14:paraId="2BE883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合计</w:t>
            </w:r>
          </w:p>
        </w:tc>
      </w:tr>
      <w:tr w14:paraId="379C1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1733AC9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一</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385FD9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资金来源</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290B950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3323.76</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3254D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3564.90</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65D5FB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3834.27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4D728D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4120.45</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1A4F6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4432.42</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D453E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4779.52</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F7EC8B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5150.55</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FFA4FE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5555.42</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06562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6004.47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8903D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6486.99</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D72FF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7013.97</w:t>
            </w:r>
          </w:p>
        </w:tc>
        <w:tc>
          <w:tcPr>
            <w:tcW w:w="1009" w:type="dxa"/>
            <w:tcBorders>
              <w:top w:val="single" w:color="000000" w:sz="4" w:space="0"/>
              <w:left w:val="single" w:color="000000" w:sz="4" w:space="0"/>
              <w:bottom w:val="single" w:color="000000" w:sz="4" w:space="0"/>
            </w:tcBorders>
            <w:noWrap w:val="0"/>
            <w:vAlign w:val="center"/>
          </w:tcPr>
          <w:p w14:paraId="4587CE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125907.83</w:t>
            </w:r>
          </w:p>
        </w:tc>
      </w:tr>
      <w:tr w14:paraId="1620C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6349EEF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02D0DB6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自有资金</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52574B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F3040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5A42FBB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250BAF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4E8F4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2C8D80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DABE89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2E8FD4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BB43F8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557727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79A87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9" w:type="dxa"/>
            <w:tcBorders>
              <w:top w:val="single" w:color="000000" w:sz="4" w:space="0"/>
              <w:left w:val="single" w:color="000000" w:sz="4" w:space="0"/>
              <w:bottom w:val="single" w:color="000000" w:sz="4" w:space="0"/>
            </w:tcBorders>
            <w:noWrap w:val="0"/>
            <w:vAlign w:val="center"/>
          </w:tcPr>
          <w:p w14:paraId="7F0C8A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28120.00</w:t>
            </w:r>
          </w:p>
        </w:tc>
      </w:tr>
      <w:tr w14:paraId="48CE6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4069C8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71E4755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项目收入</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7302AEC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3323.76</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73E586B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3564.90</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5EC020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3834.27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4E262F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4120.45</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E077C3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4432.42</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14001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4779.52</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A4E000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5150.55</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2E105B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5555.42</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9104F3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6004.47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45CC9F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6486.99</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973926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7013.97</w:t>
            </w:r>
          </w:p>
        </w:tc>
        <w:tc>
          <w:tcPr>
            <w:tcW w:w="1009" w:type="dxa"/>
            <w:tcBorders>
              <w:top w:val="single" w:color="000000" w:sz="4" w:space="0"/>
              <w:left w:val="single" w:color="000000" w:sz="4" w:space="0"/>
              <w:bottom w:val="single" w:color="000000" w:sz="4" w:space="0"/>
            </w:tcBorders>
            <w:noWrap w:val="0"/>
            <w:vAlign w:val="center"/>
          </w:tcPr>
          <w:p w14:paraId="48D3B4C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75787.83</w:t>
            </w:r>
          </w:p>
        </w:tc>
      </w:tr>
      <w:tr w14:paraId="60D88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6FE8CF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33FE53C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财政补贴</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8E230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6F9073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7A2C1C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433D2B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474536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855FD6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62E0F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895C16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3B8A3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41349D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36ED5E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tcBorders>
            <w:noWrap w:val="0"/>
            <w:vAlign w:val="center"/>
          </w:tcPr>
          <w:p w14:paraId="541E1E3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r>
      <w:tr w14:paraId="06D98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jc w:val="center"/>
        </w:trPr>
        <w:tc>
          <w:tcPr>
            <w:tcW w:w="656" w:type="dxa"/>
            <w:tcBorders>
              <w:top w:val="single" w:color="000000" w:sz="4" w:space="0"/>
              <w:bottom w:val="single" w:color="000000" w:sz="4" w:space="0"/>
              <w:right w:val="single" w:color="000000" w:sz="4" w:space="0"/>
            </w:tcBorders>
            <w:noWrap w:val="0"/>
            <w:vAlign w:val="center"/>
          </w:tcPr>
          <w:p w14:paraId="57A039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1542A4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专项债券</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2B4BEF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C31102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E37CD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E900C4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E635BD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1D596B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0C0A5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C6F28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D67B4E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06200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419760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tcBorders>
            <w:noWrap w:val="0"/>
            <w:vAlign w:val="center"/>
          </w:tcPr>
          <w:p w14:paraId="7DC5F4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22000.00</w:t>
            </w:r>
          </w:p>
        </w:tc>
      </w:tr>
      <w:tr w14:paraId="0B7E7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5D31C81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二</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782B9FA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资金运用</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62FB604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1571.55</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9ADA8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1651.59</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CED210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1743.42</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067D7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1840.63</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8F795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1946.09</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5DE728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2062.78</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BD951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2187.07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393E37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2322.08</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602712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8815.15</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E38514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11258.76</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14FA25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8776.41</w:t>
            </w:r>
          </w:p>
        </w:tc>
        <w:tc>
          <w:tcPr>
            <w:tcW w:w="1009" w:type="dxa"/>
            <w:tcBorders>
              <w:top w:val="single" w:color="000000" w:sz="4" w:space="0"/>
              <w:left w:val="single" w:color="000000" w:sz="4" w:space="0"/>
              <w:bottom w:val="single" w:color="000000" w:sz="4" w:space="0"/>
            </w:tcBorders>
            <w:noWrap w:val="0"/>
            <w:vAlign w:val="center"/>
          </w:tcPr>
          <w:p w14:paraId="36AC01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105808.96</w:t>
            </w:r>
          </w:p>
        </w:tc>
      </w:tr>
      <w:tr w14:paraId="3F40A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4ED75D9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46032AE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项目投资</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940800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2B491B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81643D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BF02C9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B98A9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35DBBB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CF9D70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B1B894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0D2A3D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A9D3F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1BDE5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tcBorders>
            <w:noWrap w:val="0"/>
            <w:vAlign w:val="center"/>
          </w:tcPr>
          <w:p w14:paraId="14B9A5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50120.00</w:t>
            </w:r>
          </w:p>
        </w:tc>
      </w:tr>
      <w:tr w14:paraId="29B26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6689CDD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665C723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建设投资</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F05CA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0839D7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7AA39C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3AA627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DB327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03AFDE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C0F9E9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91AF8A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2AC149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3B20C1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E24B07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tcBorders>
            <w:noWrap w:val="0"/>
            <w:vAlign w:val="center"/>
          </w:tcPr>
          <w:p w14:paraId="110FD36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48690.00</w:t>
            </w:r>
          </w:p>
        </w:tc>
      </w:tr>
      <w:tr w14:paraId="0472C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656" w:type="dxa"/>
            <w:tcBorders>
              <w:top w:val="single" w:color="000000" w:sz="4" w:space="0"/>
              <w:bottom w:val="single" w:color="000000" w:sz="4" w:space="0"/>
              <w:right w:val="single" w:color="000000" w:sz="4" w:space="0"/>
            </w:tcBorders>
            <w:noWrap w:val="0"/>
            <w:vAlign w:val="center"/>
          </w:tcPr>
          <w:p w14:paraId="6849E86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11DD264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建设期利息</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508DD69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16E13D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7B4D37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D4D37B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9B0E56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92A7D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270B9A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A38FA3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895334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101C59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71B4C6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tcBorders>
            <w:noWrap w:val="0"/>
            <w:vAlign w:val="center"/>
          </w:tcPr>
          <w:p w14:paraId="553C31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1408.00</w:t>
            </w:r>
          </w:p>
        </w:tc>
      </w:tr>
      <w:tr w14:paraId="0DA11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1800EB6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0792351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发行费用</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5F336E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69FAFB9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7A6EA8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803A06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FB2AB2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41E5FA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9D86A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64C360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952740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BD83C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ADF367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tcBorders>
            <w:noWrap w:val="0"/>
            <w:vAlign w:val="center"/>
          </w:tcPr>
          <w:p w14:paraId="51D2F89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22.00</w:t>
            </w:r>
          </w:p>
        </w:tc>
      </w:tr>
      <w:tr w14:paraId="7476AE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030E4F8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60DDC24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eastAsia"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运营成本</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5332287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697.54</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00A81A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727.49</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6B4490E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760.14</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9A609F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794.36</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3275FF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830.98</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003BC2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870.87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A2001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912.91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DC40E4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957.97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564824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1007.04</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A9C6A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1059.01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835EB8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1114.89</w:t>
            </w:r>
          </w:p>
        </w:tc>
        <w:tc>
          <w:tcPr>
            <w:tcW w:w="1009" w:type="dxa"/>
            <w:tcBorders>
              <w:top w:val="single" w:color="000000" w:sz="4" w:space="0"/>
              <w:left w:val="single" w:color="000000" w:sz="4" w:space="0"/>
              <w:bottom w:val="single" w:color="000000" w:sz="4" w:space="0"/>
            </w:tcBorders>
            <w:noWrap w:val="0"/>
            <w:vAlign w:val="center"/>
          </w:tcPr>
          <w:p w14:paraId="4B20CFF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14910.63</w:t>
            </w:r>
          </w:p>
        </w:tc>
      </w:tr>
      <w:tr w14:paraId="671E5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3854D1E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2.1</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1B7CED4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销售税费</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69B95A0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310.91</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5EF058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331.82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285BDEA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354.73</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764316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379.03</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D6BD41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405.29</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EA991B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434.02</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BC0F2E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464.64</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D4EA8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497.74</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4F77F4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533.94</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49DF8C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572.67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0829EE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614.62</w:t>
            </w:r>
          </w:p>
        </w:tc>
        <w:tc>
          <w:tcPr>
            <w:tcW w:w="1009" w:type="dxa"/>
            <w:tcBorders>
              <w:top w:val="single" w:color="000000" w:sz="4" w:space="0"/>
              <w:left w:val="single" w:color="000000" w:sz="4" w:space="0"/>
              <w:bottom w:val="single" w:color="000000" w:sz="4" w:space="0"/>
            </w:tcBorders>
            <w:noWrap w:val="0"/>
            <w:vAlign w:val="center"/>
          </w:tcPr>
          <w:p w14:paraId="139BD6B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6952.66</w:t>
            </w:r>
          </w:p>
        </w:tc>
      </w:tr>
      <w:tr w14:paraId="5B293B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4DE712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645176E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经营成本</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6D47FFE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386.63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58987FC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395.67</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5C0028D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405.41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DEA60D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415.33</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295DC6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425.69</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0E166B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436.85</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416B73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448.27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EEB28C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460.23</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C96795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473.10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8B1D3D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486.34</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F8E870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500.27</w:t>
            </w:r>
          </w:p>
        </w:tc>
        <w:tc>
          <w:tcPr>
            <w:tcW w:w="1009" w:type="dxa"/>
            <w:tcBorders>
              <w:top w:val="single" w:color="000000" w:sz="4" w:space="0"/>
              <w:left w:val="single" w:color="000000" w:sz="4" w:space="0"/>
              <w:bottom w:val="single" w:color="000000" w:sz="4" w:space="0"/>
            </w:tcBorders>
            <w:noWrap w:val="0"/>
            <w:vAlign w:val="center"/>
          </w:tcPr>
          <w:p w14:paraId="0417226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7957.97</w:t>
            </w:r>
          </w:p>
        </w:tc>
      </w:tr>
      <w:tr w14:paraId="068C7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jc w:val="center"/>
        </w:trPr>
        <w:tc>
          <w:tcPr>
            <w:tcW w:w="656" w:type="dxa"/>
            <w:tcBorders>
              <w:top w:val="single" w:color="000000" w:sz="4" w:space="0"/>
              <w:bottom w:val="single" w:color="000000" w:sz="4" w:space="0"/>
              <w:right w:val="single" w:color="000000" w:sz="4" w:space="0"/>
            </w:tcBorders>
            <w:noWrap w:val="0"/>
            <w:vAlign w:val="center"/>
          </w:tcPr>
          <w:p w14:paraId="0E0588A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27C17BA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所得税</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88888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170.01</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2F1DB1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220.10</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D67519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279.28</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2120C4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342.27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D32618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411.11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C264B5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487.91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DB13D2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570.16</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897FFA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660.11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A152C5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812.11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EE16E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991.75</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C123E1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1161.52</w:t>
            </w:r>
          </w:p>
        </w:tc>
        <w:tc>
          <w:tcPr>
            <w:tcW w:w="1009" w:type="dxa"/>
            <w:tcBorders>
              <w:top w:val="single" w:color="000000" w:sz="4" w:space="0"/>
              <w:left w:val="single" w:color="000000" w:sz="4" w:space="0"/>
              <w:bottom w:val="single" w:color="000000" w:sz="4" w:space="0"/>
            </w:tcBorders>
            <w:noWrap w:val="0"/>
            <w:vAlign w:val="center"/>
          </w:tcPr>
          <w:p w14:paraId="5549BD6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6106.33</w:t>
            </w:r>
          </w:p>
        </w:tc>
      </w:tr>
      <w:tr w14:paraId="558C5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656" w:type="dxa"/>
            <w:tcBorders>
              <w:top w:val="single" w:color="000000" w:sz="4" w:space="0"/>
              <w:bottom w:val="single" w:color="000000" w:sz="4" w:space="0"/>
              <w:right w:val="single" w:color="000000" w:sz="4" w:space="0"/>
            </w:tcBorders>
            <w:noWrap w:val="0"/>
            <w:vAlign w:val="center"/>
          </w:tcPr>
          <w:p w14:paraId="15A10E0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05C7B8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偿还债券本金</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0C42944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7E5922E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FEE7E1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49A97F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2B84EB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A6809C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297BB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F572A7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3590E2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6500.00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71B837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9000.00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B4417B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6500.00</w:t>
            </w:r>
          </w:p>
        </w:tc>
        <w:tc>
          <w:tcPr>
            <w:tcW w:w="1009" w:type="dxa"/>
            <w:tcBorders>
              <w:top w:val="single" w:color="000000" w:sz="4" w:space="0"/>
              <w:left w:val="single" w:color="000000" w:sz="4" w:space="0"/>
              <w:bottom w:val="single" w:color="000000" w:sz="4" w:space="0"/>
            </w:tcBorders>
            <w:noWrap w:val="0"/>
            <w:vAlign w:val="center"/>
          </w:tcPr>
          <w:p w14:paraId="3401848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22000.00</w:t>
            </w:r>
          </w:p>
        </w:tc>
      </w:tr>
      <w:tr w14:paraId="5826F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jc w:val="center"/>
        </w:trPr>
        <w:tc>
          <w:tcPr>
            <w:tcW w:w="656" w:type="dxa"/>
            <w:tcBorders>
              <w:top w:val="single" w:color="000000" w:sz="4" w:space="0"/>
              <w:bottom w:val="single" w:color="000000" w:sz="4" w:space="0"/>
              <w:right w:val="single" w:color="000000" w:sz="4" w:space="0"/>
            </w:tcBorders>
            <w:noWrap w:val="0"/>
            <w:vAlign w:val="center"/>
          </w:tcPr>
          <w:p w14:paraId="6C528F5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1356" w:type="dxa"/>
            <w:tcBorders>
              <w:top w:val="single" w:color="000000" w:sz="4" w:space="0"/>
              <w:left w:val="single" w:color="000000" w:sz="4" w:space="0"/>
              <w:bottom w:val="single" w:color="000000" w:sz="4" w:space="0"/>
              <w:right w:val="single" w:color="000000" w:sz="4" w:space="0"/>
            </w:tcBorders>
            <w:noWrap w:val="0"/>
            <w:vAlign w:val="center"/>
          </w:tcPr>
          <w:p w14:paraId="359DC4C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支付债券利息</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2A298CF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FE87E5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0ABDB7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E39D07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F462CD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93ED73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2374E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3B23A7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704.00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3DDB1A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496.00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0314DB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208.00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BAF13F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0.00</w:t>
            </w:r>
          </w:p>
        </w:tc>
        <w:tc>
          <w:tcPr>
            <w:tcW w:w="1009" w:type="dxa"/>
            <w:tcBorders>
              <w:top w:val="single" w:color="000000" w:sz="4" w:space="0"/>
              <w:left w:val="single" w:color="000000" w:sz="4" w:space="0"/>
              <w:bottom w:val="single" w:color="000000" w:sz="4" w:space="0"/>
            </w:tcBorders>
            <w:noWrap w:val="0"/>
            <w:vAlign w:val="center"/>
          </w:tcPr>
          <w:p w14:paraId="3A65EA8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12672.00</w:t>
            </w:r>
          </w:p>
        </w:tc>
      </w:tr>
      <w:tr w14:paraId="7308C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2" w:hRule="atLeast"/>
          <w:jc w:val="center"/>
        </w:trPr>
        <w:tc>
          <w:tcPr>
            <w:tcW w:w="656" w:type="dxa"/>
            <w:tcBorders>
              <w:top w:val="single" w:color="000000" w:sz="4" w:space="0"/>
              <w:bottom w:val="single" w:color="000000" w:sz="4" w:space="0"/>
              <w:right w:val="single" w:color="000000" w:sz="4" w:space="0"/>
            </w:tcBorders>
            <w:shd w:val="clear" w:color="auto" w:fill="auto"/>
            <w:noWrap w:val="0"/>
            <w:vAlign w:val="center"/>
          </w:tcPr>
          <w:p w14:paraId="1AF19AC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三</w:t>
            </w:r>
          </w:p>
        </w:tc>
        <w:tc>
          <w:tcPr>
            <w:tcW w:w="135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C084CDD">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盈余资金</w:t>
            </w:r>
          </w:p>
        </w:tc>
        <w:tc>
          <w:tcPr>
            <w:tcW w:w="11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1C8E51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1752.21</w:t>
            </w:r>
          </w:p>
        </w:tc>
        <w:tc>
          <w:tcPr>
            <w:tcW w:w="11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0344D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1913.31</w:t>
            </w:r>
          </w:p>
        </w:tc>
        <w:tc>
          <w:tcPr>
            <w:tcW w:w="112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9B79B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2090.85</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6F8DC2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2279.82</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FC55B9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2486.33</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61FC9C7">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2716.74</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984190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2963.48</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65B2AF0">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3233.34</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7CFA0A8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-2810.68</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8798C31">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-4771.77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1ECA8A6">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-1762.44</w:t>
            </w:r>
          </w:p>
        </w:tc>
        <w:tc>
          <w:tcPr>
            <w:tcW w:w="1009" w:type="dxa"/>
            <w:tcBorders>
              <w:top w:val="single" w:color="000000" w:sz="4" w:space="0"/>
              <w:left w:val="single" w:color="000000" w:sz="4" w:space="0"/>
              <w:bottom w:val="single" w:color="000000" w:sz="4" w:space="0"/>
            </w:tcBorders>
            <w:noWrap w:val="0"/>
            <w:vAlign w:val="center"/>
          </w:tcPr>
          <w:p w14:paraId="5AAA2689">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20098.87</w:t>
            </w:r>
          </w:p>
        </w:tc>
      </w:tr>
      <w:tr w14:paraId="35804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0" w:hRule="atLeast"/>
          <w:jc w:val="center"/>
        </w:trPr>
        <w:tc>
          <w:tcPr>
            <w:tcW w:w="656" w:type="dxa"/>
            <w:tcBorders>
              <w:top w:val="single" w:color="000000" w:sz="4" w:space="0"/>
              <w:bottom w:val="single" w:color="000000" w:sz="4" w:space="0"/>
              <w:right w:val="single" w:color="000000" w:sz="4" w:space="0"/>
            </w:tcBorders>
            <w:shd w:val="clear" w:color="auto" w:fill="auto"/>
            <w:noWrap w:val="0"/>
            <w:vAlign w:val="center"/>
          </w:tcPr>
          <w:p w14:paraId="1D868F5F">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四</w:t>
            </w:r>
          </w:p>
        </w:tc>
        <w:tc>
          <w:tcPr>
            <w:tcW w:w="1356"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DE2285">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eastAsia" w:ascii="Times New Roman" w:hAnsi="Times New Roman" w:eastAsia="宋体" w:cs="Times New Roman"/>
                <w:i w:val="0"/>
                <w:iCs w:val="0"/>
                <w:color w:val="000000"/>
                <w:kern w:val="0"/>
                <w:sz w:val="18"/>
                <w:szCs w:val="18"/>
                <w:u w:val="none"/>
                <w:lang w:val="en-US" w:eastAsia="zh-CN" w:bidi="ar"/>
              </w:rPr>
              <w:t>累计盈余资金</w:t>
            </w:r>
          </w:p>
        </w:tc>
        <w:tc>
          <w:tcPr>
            <w:tcW w:w="11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AC3E5C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11759.89</w:t>
            </w:r>
          </w:p>
        </w:tc>
        <w:tc>
          <w:tcPr>
            <w:tcW w:w="1120"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FC9DD4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13673.20</w:t>
            </w:r>
          </w:p>
        </w:tc>
        <w:tc>
          <w:tcPr>
            <w:tcW w:w="112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527CF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15764.05</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6F79F61E">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18043.87</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5908414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20530.20</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29D45624">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23246.94</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170929E8">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26210.42</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CD30CF2">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29443.76</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0EE238CB">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26633.08</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4F0FA24C">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21861.31</w:t>
            </w:r>
          </w:p>
        </w:tc>
        <w:tc>
          <w:tcPr>
            <w:tcW w:w="1009" w:type="dxa"/>
            <w:tcBorders>
              <w:top w:val="single" w:color="000000" w:sz="4" w:space="0"/>
              <w:left w:val="single" w:color="000000" w:sz="4" w:space="0"/>
              <w:bottom w:val="single" w:color="000000" w:sz="4" w:space="0"/>
              <w:right w:val="single" w:color="000000" w:sz="4" w:space="0"/>
            </w:tcBorders>
            <w:noWrap w:val="0"/>
            <w:vAlign w:val="center"/>
          </w:tcPr>
          <w:p w14:paraId="32BE0163">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20098.87</w:t>
            </w:r>
          </w:p>
        </w:tc>
        <w:tc>
          <w:tcPr>
            <w:tcW w:w="1009" w:type="dxa"/>
            <w:tcBorders>
              <w:top w:val="single" w:color="000000" w:sz="4" w:space="0"/>
              <w:left w:val="single" w:color="000000" w:sz="4" w:space="0"/>
              <w:bottom w:val="single" w:color="000000" w:sz="4" w:space="0"/>
            </w:tcBorders>
            <w:noWrap w:val="0"/>
            <w:vAlign w:val="center"/>
          </w:tcPr>
          <w:p w14:paraId="5EEFC2CA">
            <w:pPr>
              <w:keepNext w:val="0"/>
              <w:keepLines w:val="0"/>
              <w:pageBreakBefore w:val="0"/>
              <w:widowControl/>
              <w:suppressLineNumbers w:val="0"/>
              <w:kinsoku/>
              <w:wordWrap/>
              <w:overflowPunct/>
              <w:topLinePunct w:val="0"/>
              <w:autoSpaceDE/>
              <w:autoSpaceDN/>
              <w:bidi w:val="0"/>
              <w:adjustRightInd/>
              <w:snapToGrid/>
              <w:spacing w:line="240" w:lineRule="exact"/>
              <w:ind w:firstLine="0" w:firstLineChars="0"/>
              <w:jc w:val="center"/>
              <w:textAlignment w:val="center"/>
              <w:rPr>
                <w:rFonts w:hint="default" w:ascii="Times New Roman" w:hAnsi="Times New Roman" w:eastAsia="宋体" w:cs="Times New Roman"/>
                <w:i w:val="0"/>
                <w:iCs w:val="0"/>
                <w:color w:val="000000"/>
                <w:kern w:val="0"/>
                <w:sz w:val="18"/>
                <w:szCs w:val="18"/>
                <w:u w:val="none"/>
                <w:lang w:val="en-US" w:eastAsia="zh-CN" w:bidi="ar"/>
              </w:rPr>
            </w:pPr>
          </w:p>
        </w:tc>
      </w:tr>
    </w:tbl>
    <w:p w14:paraId="470D711D">
      <w:pPr>
        <w:pStyle w:val="29"/>
        <w:ind w:firstLineChars="0"/>
        <w:rPr>
          <w:rStyle w:val="18"/>
          <w:rFonts w:eastAsia="等线"/>
        </w:rPr>
        <w:sectPr>
          <w:pgSz w:w="16838" w:h="11906"/>
          <w:pgMar w:top="1644" w:right="2098" w:bottom="1418" w:left="1588" w:header="851" w:footer="992" w:gutter="0"/>
          <w:cols w:space="425" w:num="1"/>
          <w:docGrid w:type="lines" w:linePitch="435" w:charSpace="0"/>
        </w:sectPr>
      </w:pPr>
    </w:p>
    <w:p w14:paraId="376D6CDB">
      <w:pPr>
        <w:pStyle w:val="29"/>
        <w:spacing w:line="560" w:lineRule="exact"/>
        <w:ind w:firstLine="640" w:firstLineChars="200"/>
        <w:rPr>
          <w:rStyle w:val="18"/>
          <w:rFonts w:ascii="黑体" w:hAnsi="黑体" w:eastAsia="黑体"/>
          <w:sz w:val="32"/>
          <w:szCs w:val="32"/>
        </w:rPr>
      </w:pPr>
      <w:r>
        <w:rPr>
          <w:rStyle w:val="18"/>
          <w:rFonts w:ascii="黑体" w:hAnsi="黑体" w:eastAsia="黑体"/>
          <w:sz w:val="32"/>
          <w:szCs w:val="32"/>
        </w:rPr>
        <w:t>五、项目绩效目标</w:t>
      </w:r>
    </w:p>
    <w:p w14:paraId="021F6565">
      <w:pPr>
        <w:spacing w:line="560" w:lineRule="exact"/>
        <w:ind w:firstLine="640" w:firstLineChars="200"/>
        <w:rPr>
          <w:rFonts w:hint="eastAsia" w:ascii="仿宋_GB2312" w:eastAsia="仿宋_GB2312"/>
          <w:sz w:val="32"/>
          <w:szCs w:val="32"/>
          <w:lang w:val="en-GB"/>
        </w:rPr>
      </w:pPr>
      <w:r>
        <w:rPr>
          <w:rFonts w:hint="eastAsia" w:ascii="仿宋_GB2312" w:eastAsia="仿宋_GB2312"/>
          <w:sz w:val="32"/>
          <w:szCs w:val="32"/>
          <w:lang w:val="en-GB"/>
        </w:rPr>
        <w:t>（1）数量指标：</w:t>
      </w:r>
      <w:r>
        <w:rPr>
          <w:rStyle w:val="18"/>
          <w:rFonts w:hint="eastAsia" w:ascii="仿宋_GB2312" w:hAnsi="Calibri" w:eastAsia="仿宋_GB2312"/>
          <w:sz w:val="32"/>
          <w:szCs w:val="32"/>
        </w:rPr>
        <w:t>新建农业产业示范园及配套设施建设(包含百香果观光园500亩、草莓采摘园100亩、蓝莓采摘园50亩、羊肚菌产业园100亩、有机蔬菜产业园500亩、“稻鱼共生”基地50亩)、新建中口粮油园区4500亩</w:t>
      </w:r>
      <w:r>
        <w:rPr>
          <w:rStyle w:val="18"/>
          <w:rFonts w:ascii="仿宋_GB2312" w:hAnsi="Calibri" w:eastAsia="仿宋_GB2312"/>
          <w:sz w:val="32"/>
          <w:szCs w:val="32"/>
        </w:rPr>
        <w:t>。</w:t>
      </w:r>
    </w:p>
    <w:p w14:paraId="662F47D0">
      <w:pPr>
        <w:spacing w:line="560" w:lineRule="exact"/>
        <w:ind w:firstLine="640" w:firstLineChars="200"/>
        <w:rPr>
          <w:rFonts w:hint="eastAsia" w:ascii="仿宋_GB2312" w:eastAsia="仿宋_GB2312"/>
          <w:sz w:val="32"/>
          <w:szCs w:val="32"/>
          <w:lang w:val="en-GB"/>
        </w:rPr>
      </w:pPr>
      <w:r>
        <w:rPr>
          <w:rFonts w:hint="eastAsia" w:ascii="仿宋_GB2312" w:eastAsia="仿宋_GB2312"/>
          <w:sz w:val="32"/>
          <w:szCs w:val="32"/>
          <w:lang w:val="en-GB"/>
        </w:rPr>
        <w:t>（2）时效指标：预计项目在202</w:t>
      </w:r>
      <w:r>
        <w:rPr>
          <w:rFonts w:hint="eastAsia" w:ascii="仿宋_GB2312" w:eastAsia="仿宋_GB2312"/>
          <w:sz w:val="32"/>
          <w:szCs w:val="32"/>
          <w:lang w:val="en-US" w:eastAsia="zh-CN"/>
        </w:rPr>
        <w:t>5</w:t>
      </w:r>
      <w:r>
        <w:rPr>
          <w:rFonts w:hint="eastAsia" w:ascii="仿宋_GB2312" w:eastAsia="仿宋_GB2312"/>
          <w:sz w:val="32"/>
          <w:szCs w:val="32"/>
          <w:lang w:val="en-GB"/>
        </w:rPr>
        <w:t>年完工，具体完工时间按工程进度确定。</w:t>
      </w:r>
    </w:p>
    <w:p w14:paraId="19D1F7F1">
      <w:pPr>
        <w:spacing w:line="560" w:lineRule="exact"/>
        <w:ind w:firstLine="640" w:firstLineChars="200"/>
        <w:rPr>
          <w:rFonts w:hint="eastAsia" w:ascii="仿宋_GB2312" w:eastAsia="仿宋_GB2312"/>
          <w:sz w:val="32"/>
          <w:szCs w:val="32"/>
          <w:lang w:val="en-GB"/>
        </w:rPr>
      </w:pPr>
      <w:r>
        <w:rPr>
          <w:rFonts w:hint="eastAsia" w:ascii="仿宋_GB2312" w:eastAsia="仿宋_GB2312"/>
          <w:sz w:val="32"/>
          <w:szCs w:val="32"/>
          <w:lang w:val="en-GB"/>
        </w:rPr>
        <w:t>（3）成本指标：项目总投资</w:t>
      </w:r>
      <w:r>
        <w:rPr>
          <w:rStyle w:val="18"/>
          <w:rFonts w:hint="eastAsia" w:ascii="仿宋_GB2312" w:hAnsi="Calibri" w:eastAsia="仿宋_GB2312"/>
          <w:sz w:val="32"/>
          <w:szCs w:val="32"/>
          <w:lang w:eastAsia="zh-CN"/>
        </w:rPr>
        <w:t>50120.00</w:t>
      </w:r>
      <w:r>
        <w:rPr>
          <w:rFonts w:hint="eastAsia" w:ascii="仿宋_GB2312" w:eastAsia="仿宋_GB2312"/>
          <w:sz w:val="32"/>
          <w:szCs w:val="32"/>
          <w:lang w:val="en-GB"/>
        </w:rPr>
        <w:t>万元。</w:t>
      </w:r>
    </w:p>
    <w:p w14:paraId="7C67A317">
      <w:pPr>
        <w:spacing w:line="560" w:lineRule="exact"/>
        <w:ind w:firstLine="640" w:firstLineChars="200"/>
        <w:rPr>
          <w:rFonts w:hint="eastAsia" w:ascii="仿宋_GB2312" w:eastAsia="仿宋_GB2312"/>
          <w:sz w:val="32"/>
          <w:szCs w:val="32"/>
          <w:lang w:val="en-GB"/>
        </w:rPr>
      </w:pPr>
      <w:r>
        <w:rPr>
          <w:rFonts w:hint="eastAsia" w:ascii="仿宋_GB2312" w:eastAsia="仿宋_GB2312"/>
          <w:sz w:val="32"/>
          <w:szCs w:val="32"/>
          <w:lang w:val="en-GB"/>
        </w:rPr>
        <w:t>（4）经济效益指标:运营总收入为</w:t>
      </w:r>
      <w:r>
        <w:rPr>
          <w:rFonts w:hint="eastAsia" w:ascii="仿宋_GB2312" w:hAnsi="仿宋_GB2312" w:eastAsia="仿宋_GB2312"/>
          <w:color w:val="000000"/>
          <w:sz w:val="32"/>
          <w:szCs w:val="32"/>
          <w:lang w:eastAsia="zh-CN"/>
        </w:rPr>
        <w:t>75787.83</w:t>
      </w:r>
      <w:r>
        <w:rPr>
          <w:rFonts w:hint="eastAsia" w:ascii="仿宋_GB2312" w:eastAsia="仿宋_GB2312"/>
          <w:sz w:val="32"/>
          <w:szCs w:val="32"/>
          <w:lang w:val="en-GB"/>
        </w:rPr>
        <w:t>万元。</w:t>
      </w:r>
    </w:p>
    <w:p w14:paraId="54ACFAE8">
      <w:pPr>
        <w:spacing w:after="120" w:line="560" w:lineRule="exact"/>
        <w:ind w:firstLine="640" w:firstLineChars="200"/>
        <w:rPr>
          <w:rFonts w:ascii="仿宋_GB2312" w:eastAsia="仿宋_GB2312"/>
          <w:sz w:val="32"/>
          <w:szCs w:val="32"/>
          <w:lang w:val="en-GB"/>
        </w:rPr>
      </w:pPr>
      <w:r>
        <w:rPr>
          <w:rFonts w:hint="eastAsia" w:ascii="仿宋_GB2312" w:eastAsia="仿宋_GB2312"/>
          <w:sz w:val="32"/>
          <w:szCs w:val="32"/>
          <w:lang w:val="en-GB"/>
        </w:rPr>
        <w:t>（5）社会效益指标：</w:t>
      </w:r>
      <w:r>
        <w:rPr>
          <w:rStyle w:val="18"/>
          <w:rFonts w:hint="eastAsia" w:ascii="仿宋_GB2312" w:eastAsia="仿宋_GB2312"/>
          <w:color w:val="000000"/>
          <w:sz w:val="32"/>
          <w:szCs w:val="32"/>
        </w:rPr>
        <w:t>社会工作嵌入到乡村振兴当中，能够保障农民享受社会服务的权利，提升其获得感与幸福感，也有利于缓解农村社会服务长期发展不平衡不充分的局面。与此同时，社会工作“赋能”的理念与实践能够培育农民的可持续发展能力，进一步巩固脱贫攻坚成效，持续改善农民生活水平</w:t>
      </w:r>
      <w:r>
        <w:rPr>
          <w:rFonts w:hint="eastAsia" w:ascii="仿宋_GB2312" w:eastAsia="仿宋_GB2312"/>
          <w:sz w:val="32"/>
          <w:szCs w:val="32"/>
          <w:lang w:val="en-GB"/>
        </w:rPr>
        <w:t>。</w:t>
      </w:r>
    </w:p>
    <w:p w14:paraId="13493328">
      <w:pPr>
        <w:spacing w:after="120" w:line="560" w:lineRule="exact"/>
        <w:ind w:firstLine="640" w:firstLineChars="200"/>
        <w:rPr>
          <w:rStyle w:val="18"/>
          <w:rFonts w:ascii="黑体" w:hAnsi="黑体" w:eastAsia="黑体"/>
          <w:sz w:val="32"/>
          <w:szCs w:val="32"/>
        </w:rPr>
      </w:pPr>
      <w:r>
        <w:rPr>
          <w:rStyle w:val="18"/>
          <w:rFonts w:ascii="黑体" w:hAnsi="黑体" w:eastAsia="黑体"/>
          <w:sz w:val="32"/>
          <w:szCs w:val="32"/>
        </w:rPr>
        <w:t>六、潜在影响项目的风险评估</w:t>
      </w:r>
    </w:p>
    <w:p w14:paraId="2304ED56">
      <w:pPr>
        <w:spacing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1）影响项目施工进度或正常运营的风险因素主要包括工期延长、工程事故发生等。针对以上风险，一是全面统筹安排，确保本项目前期运作顺利进行；二是选择优质施工队伍、做好事前预防工作及质量安全检查。</w:t>
      </w:r>
    </w:p>
    <w:p w14:paraId="01A44CB7">
      <w:pPr>
        <w:spacing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（2）影响项目收益的风险主要是市场环境的不确定性带来风险。本项目预测价格参考了周边类似项目市场价格，预测单价较为保守，未来成交价格有保证。</w:t>
      </w:r>
    </w:p>
    <w:p w14:paraId="50F88405">
      <w:pPr>
        <w:spacing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3）影响融资平衡结果的风险主要是投资测算不准及利率波动风险。本项目实施方案经过大量分析论证工作后认为，投资分析结果较为可靠。同时，项目前期应做好债券期限配比，发债后做好还款计划和准备，尽量减少利率波动损失。</w:t>
      </w:r>
    </w:p>
    <w:p w14:paraId="073D5993">
      <w:pPr>
        <w:spacing w:after="120" w:line="560" w:lineRule="exact"/>
        <w:ind w:firstLine="640" w:firstLineChars="200"/>
        <w:rPr>
          <w:rStyle w:val="18"/>
          <w:rFonts w:ascii="仿宋_GB2312" w:eastAsia="仿宋_GB2312"/>
          <w:sz w:val="32"/>
          <w:szCs w:val="32"/>
        </w:rPr>
      </w:pPr>
      <w:r>
        <w:rPr>
          <w:rStyle w:val="18"/>
          <w:rFonts w:ascii="黑体" w:hAnsi="黑体" w:eastAsia="黑体"/>
          <w:sz w:val="32"/>
          <w:szCs w:val="32"/>
        </w:rPr>
        <w:t>七、还款保障情况</w:t>
      </w:r>
    </w:p>
    <w:p w14:paraId="4C22B85B">
      <w:pPr>
        <w:spacing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按照《国务院办公厅关于印发地方政府性债务风险应急处置预案的通知》（国办函〔2016〕88号）规定，本级政府对地方政府债券依法承担全部偿还责任。本级财政将按照《财政部关于印发&lt;地方政府专项债务预算管理办法&gt;的通知》（财预〔2016〕155号）规定，及时按照转贷协议约定逐级向省财政缴纳本级应当承担的还本付息资金，由省财政按照合同约定及时偿还专项债券到期本息。如偿债出现困难，将通过调减投资计划、处置可变现资产、调整预算支出结构等方式筹集资金偿还债务。未按时足额向省财政缴纳专项债券还本付息资金的,省财政采取适当方式扣回。</w:t>
      </w:r>
    </w:p>
    <w:p w14:paraId="755C558D">
      <w:pPr>
        <w:spacing w:after="120" w:line="560" w:lineRule="exact"/>
        <w:ind w:firstLine="640" w:firstLineChars="200"/>
        <w:rPr>
          <w:rStyle w:val="18"/>
          <w:rFonts w:ascii="黑体" w:hAnsi="黑体" w:eastAsia="黑体"/>
          <w:sz w:val="32"/>
          <w:szCs w:val="32"/>
        </w:rPr>
      </w:pPr>
      <w:r>
        <w:rPr>
          <w:rStyle w:val="18"/>
          <w:rFonts w:ascii="黑体" w:hAnsi="黑体" w:eastAsia="黑体"/>
          <w:sz w:val="32"/>
          <w:szCs w:val="32"/>
        </w:rPr>
        <w:t>八、</w:t>
      </w:r>
      <w:r>
        <w:rPr>
          <w:rFonts w:hint="eastAsia" w:ascii="黑体" w:hAnsi="黑体" w:eastAsia="黑体"/>
          <w:sz w:val="32"/>
          <w:szCs w:val="32"/>
        </w:rPr>
        <w:t>主管部门和项目单位职责</w:t>
      </w:r>
    </w:p>
    <w:p w14:paraId="1355EB22">
      <w:pPr>
        <w:spacing w:line="560" w:lineRule="exact"/>
        <w:ind w:firstLine="640" w:firstLineChars="200"/>
        <w:rPr>
          <w:rStyle w:val="18"/>
          <w:rFonts w:ascii="仿宋_GB2312" w:hAnsi="Calibri" w:eastAsia="仿宋_GB2312"/>
          <w:sz w:val="32"/>
          <w:szCs w:val="32"/>
        </w:rPr>
      </w:pPr>
      <w:r>
        <w:rPr>
          <w:rStyle w:val="18"/>
          <w:rFonts w:hint="eastAsia" w:ascii="仿宋_GB2312" w:hAnsi="Calibri" w:eastAsia="仿宋_GB2312"/>
          <w:sz w:val="32"/>
          <w:szCs w:val="32"/>
        </w:rPr>
        <w:t>1.主管部门及职责</w:t>
      </w:r>
    </w:p>
    <w:p w14:paraId="6DCC9846">
      <w:pPr>
        <w:spacing w:line="560" w:lineRule="exact"/>
        <w:ind w:firstLine="640" w:firstLineChars="200"/>
        <w:rPr>
          <w:rStyle w:val="18"/>
          <w:rFonts w:ascii="仿宋_GB2312" w:hAnsi="Calibri" w:eastAsia="仿宋_GB2312"/>
          <w:sz w:val="32"/>
          <w:szCs w:val="32"/>
        </w:rPr>
      </w:pPr>
      <w:r>
        <w:rPr>
          <w:rStyle w:val="18"/>
          <w:rFonts w:ascii="仿宋_GB2312" w:hAnsi="Calibri" w:eastAsia="仿宋_GB2312"/>
          <w:sz w:val="32"/>
          <w:szCs w:val="32"/>
        </w:rPr>
        <w:t>主管部门将会配合做好本地区项目收益专项债券发行准备</w:t>
      </w:r>
      <w:r>
        <w:rPr>
          <w:rStyle w:val="18"/>
          <w:rFonts w:ascii="仿宋_GB2312" w:hAnsi="Calibri" w:eastAsia="仿宋_GB2312"/>
          <w:w w:val="105"/>
          <w:sz w:val="32"/>
          <w:szCs w:val="32"/>
        </w:rPr>
        <w:t>工作，及时准确提供相关资料，配合做好信息披露、信用评</w:t>
      </w:r>
      <w:r>
        <w:rPr>
          <w:rStyle w:val="18"/>
          <w:rFonts w:ascii="仿宋_GB2312" w:hAnsi="Calibri" w:eastAsia="仿宋_GB2312"/>
          <w:sz w:val="32"/>
          <w:szCs w:val="32"/>
        </w:rPr>
        <w:t>级、资产评估等工作。项目运行过程中，主管部门将主动披露项目施工期间的施工进度、项目收益专项债券资金使用情况、项目运营期间的收支情况等信息。在债券资金管理方面，行业主管部门将会履行项目建设运营管理责任，加强成本控制，确保项目形成的专项收入应收尽收，并按照规定及时足额上交。年终时，行业主管部门配合财政部门编制项目收益债券收支决算，在政府性基金预算报告中全面、准确反映项目收益专项债券收入、支出、还本付息、发行费用、取得的收入等情况。债券对应资产管理方面，主管部门将会协同财政部门将各类项目收益专项债券对应项目形成的资产纳入国有资产管理，建立相应的资产登记和统计报告制度，加强资产日常统计和动态监控。</w:t>
      </w:r>
    </w:p>
    <w:p w14:paraId="5F5BE894">
      <w:pPr>
        <w:spacing w:line="560" w:lineRule="exact"/>
        <w:ind w:firstLine="640" w:firstLineChars="200"/>
        <w:rPr>
          <w:rStyle w:val="18"/>
          <w:rFonts w:ascii="仿宋_GB2312" w:hAnsi="Calibri" w:eastAsia="仿宋_GB2312"/>
          <w:sz w:val="32"/>
          <w:szCs w:val="32"/>
        </w:rPr>
      </w:pPr>
      <w:r>
        <w:rPr>
          <w:rStyle w:val="18"/>
          <w:rFonts w:hint="eastAsia" w:ascii="仿宋_GB2312" w:hAnsi="Calibri" w:eastAsia="仿宋_GB2312"/>
          <w:sz w:val="32"/>
          <w:szCs w:val="32"/>
        </w:rPr>
        <w:t>2.项目业主及职责</w:t>
      </w:r>
    </w:p>
    <w:p w14:paraId="71128301">
      <w:pPr>
        <w:spacing w:line="560" w:lineRule="exact"/>
        <w:ind w:firstLine="640" w:firstLineChars="200"/>
        <w:rPr>
          <w:rStyle w:val="18"/>
          <w:rFonts w:ascii="仿宋_GB2312" w:hAnsi="Calibri" w:eastAsia="仿宋_GB2312"/>
          <w:sz w:val="32"/>
          <w:szCs w:val="32"/>
        </w:rPr>
      </w:pPr>
      <w:r>
        <w:rPr>
          <w:rStyle w:val="18"/>
          <w:rFonts w:hint="eastAsia" w:ascii="仿宋_GB2312" w:hAnsi="Calibri" w:eastAsia="仿宋_GB2312"/>
          <w:sz w:val="32"/>
          <w:szCs w:val="32"/>
        </w:rPr>
        <w:t>本项目业主是</w:t>
      </w:r>
      <w:r>
        <w:rPr>
          <w:rStyle w:val="18"/>
          <w:rFonts w:hint="eastAsia" w:ascii="仿宋_GB2312" w:hAnsi="Calibri" w:eastAsia="仿宋_GB2312"/>
          <w:sz w:val="32"/>
          <w:szCs w:val="32"/>
          <w:lang w:eastAsia="zh-CN"/>
        </w:rPr>
        <w:t>广元利慧文化旅游开发有限公司</w:t>
      </w:r>
      <w:r>
        <w:rPr>
          <w:rStyle w:val="18"/>
          <w:rFonts w:hint="eastAsia" w:ascii="仿宋_GB2312" w:hAnsi="Calibri" w:eastAsia="仿宋_GB2312"/>
          <w:sz w:val="32"/>
          <w:szCs w:val="32"/>
        </w:rPr>
        <w:t>。其职责为提出专项债券项目需求申请，编制报送项目实施方案及相关资料，配合做好债券发行准备。规范使用债券资金，及时形成支出，提高资金使用效益。定期评估项目成本、预期收益和对应资产价值等，发现风险或异常情况及时向主管部门报告。编制专项债券收支、偿还计划并纳入单位年度预算管理，将债券项目收入及时足额缴入国库。做好数据填报、信息公开等相关工作。</w:t>
      </w:r>
    </w:p>
    <w:p w14:paraId="03B97785">
      <w:pPr>
        <w:spacing w:after="120" w:line="560" w:lineRule="exact"/>
        <w:ind w:firstLine="640" w:firstLineChars="200"/>
        <w:jc w:val="left"/>
        <w:rPr>
          <w:rStyle w:val="18"/>
          <w:rFonts w:ascii="方正小标宋简体" w:eastAsia="方正小标宋简体"/>
          <w:sz w:val="44"/>
          <w:szCs w:val="44"/>
        </w:rPr>
      </w:pPr>
      <w:r>
        <w:rPr>
          <w:rStyle w:val="18"/>
          <w:rFonts w:ascii="黑体" w:hAnsi="黑体" w:eastAsia="黑体"/>
          <w:sz w:val="32"/>
          <w:szCs w:val="32"/>
        </w:rPr>
        <w:t>九、补充说明</w:t>
      </w:r>
    </w:p>
    <w:p w14:paraId="41F6461E">
      <w:pPr>
        <w:spacing w:after="120" w:line="560" w:lineRule="exact"/>
        <w:ind w:firstLine="632" w:firstLineChars="200"/>
        <w:rPr>
          <w:rStyle w:val="18"/>
          <w:rFonts w:hint="eastAsia" w:ascii="仿宋_GB2312" w:hAnsi="仿宋_GB2312" w:eastAsia="仿宋_GB2312"/>
          <w:w w:val="99"/>
          <w:sz w:val="32"/>
          <w:szCs w:val="32"/>
          <w:lang w:eastAsia="zh-CN"/>
        </w:rPr>
      </w:pPr>
      <w:bookmarkStart w:id="1" w:name="_GoBack"/>
      <w:r>
        <w:rPr>
          <w:rStyle w:val="18"/>
          <w:rFonts w:hint="eastAsia" w:ascii="仿宋_GB2312" w:hAnsi="仿宋_GB2312" w:eastAsia="仿宋_GB2312"/>
          <w:w w:val="99"/>
          <w:sz w:val="32"/>
          <w:szCs w:val="32"/>
          <w:lang w:val="en-US" w:eastAsia="zh-CN"/>
        </w:rPr>
        <w:t>此项目债券资金总需求22000.00万元，根据地方政府债务限额管理要求和项目实施进展情况，2023年已发行6500.00万元，2024年已发行6200万元，2025年已通过调整发行1200万元。本次拟继续通过调整发行3000.00万元，期限20年。该项目实施内容及收益来源未发生变动，在不超过项目债券总需求情况下，债券分批次跨年发行对项目整体融资平衡不造成实质影响。</w:t>
      </w:r>
    </w:p>
    <w:bookmarkEnd w:id="1"/>
    <w:sectPr>
      <w:pgSz w:w="11906" w:h="16838"/>
      <w:pgMar w:top="2098" w:right="1418" w:bottom="1588" w:left="1644"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LF_Kai">
    <w:altName w:val="宋体"/>
    <w:panose1 w:val="00000000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MingLiU">
    <w:altName w:val="PMingLiU-ExtB"/>
    <w:panose1 w:val="02020509000000000000"/>
    <w:charset w:val="88"/>
    <w:family w:val="modern"/>
    <w:pitch w:val="default"/>
    <w:sig w:usb0="00000000" w:usb1="00000000" w:usb2="00000016" w:usb3="00000000" w:csb0="00100001" w:csb1="00000000"/>
  </w:font>
  <w:font w:name="PMingLiU">
    <w:altName w:val="PMingLiU-ExtB"/>
    <w:panose1 w:val="02020500000000000000"/>
    <w:charset w:val="88"/>
    <w:family w:val="roman"/>
    <w:pitch w:val="default"/>
    <w:sig w:usb0="00000000" w:usb1="00000000" w:usb2="00000016" w:usb3="00000000" w:csb0="00100001" w:csb1="00000000"/>
  </w:font>
  <w:font w:name="方正小标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23C95">
    <w:pPr>
      <w:pStyle w:val="6"/>
      <w:jc w:val="center"/>
      <w:rPr>
        <w:rStyle w:val="18"/>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44B1B37">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14:paraId="644B1B37">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635E4">
    <w:pPr>
      <w:pStyle w:val="6"/>
      <w:jc w:val="center"/>
      <w:rPr>
        <w:rStyle w:val="18"/>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0B5CD2">
                          <w:pPr>
                            <w:pStyle w:val="6"/>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FWH/vPLAQAAnAMAAA4AAAAAAAAAAQAgAAAAHgEAAGRycy9lMm9E&#10;b2MueG1sUEsFBgAAAAAGAAYAWQEAAFsFAAAAAA==&#10;">
              <v:fill on="f" focussize="0,0"/>
              <v:stroke on="f"/>
              <v:imagedata o:title=""/>
              <o:lock v:ext="edit" aspectratio="f"/>
              <v:textbox inset="0mm,0mm,0mm,0mm" style="mso-fit-shape-to-text:t;">
                <w:txbxContent>
                  <w:p w14:paraId="7E0B5CD2">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06189A">
    <w:pPr>
      <w:pStyle w:val="7"/>
      <w:ind w:firstLine="360"/>
      <w:rPr>
        <w:rStyle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C23BF">
    <w:pPr>
      <w:pStyle w:val="7"/>
      <w:ind w:firstLine="360"/>
      <w:rPr>
        <w:rStyle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isplayHorizontalDrawingGridEvery w:val="1"/>
  <w:displayVerticalDrawingGridEvery w:val="1"/>
  <w:doNotUseMarginsForDrawingGridOrigin w:val="1"/>
  <w:drawingGridHorizontalOrigin w:val="1800"/>
  <w:drawingGridVerticalOrigin w:val="1440"/>
  <w:noPunctuationKerning w:val="1"/>
  <w:characterSpacingControl w:val="doNotCompress"/>
  <w:hdrShapeDefaults>
    <o:shapelayout v:ext="edit">
      <o:idmap v:ext="edit" data="3,4"/>
    </o:shapelayout>
  </w:hdrShapeDefault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5NWUxMDYwNDg2YzhiMmE5MWVhZTA5NWYxZjhiZTAifQ=="/>
  </w:docVars>
  <w:rsids>
    <w:rsidRoot w:val="00CE2334"/>
    <w:rsid w:val="001C0E47"/>
    <w:rsid w:val="002D7DD5"/>
    <w:rsid w:val="003231C1"/>
    <w:rsid w:val="00397B65"/>
    <w:rsid w:val="00430652"/>
    <w:rsid w:val="00430806"/>
    <w:rsid w:val="00603805"/>
    <w:rsid w:val="00723ED8"/>
    <w:rsid w:val="00843181"/>
    <w:rsid w:val="00A76D0B"/>
    <w:rsid w:val="00B73BA4"/>
    <w:rsid w:val="00C24DD5"/>
    <w:rsid w:val="00C35226"/>
    <w:rsid w:val="00CE2334"/>
    <w:rsid w:val="00E67CEA"/>
    <w:rsid w:val="00F81B30"/>
    <w:rsid w:val="03AB04F5"/>
    <w:rsid w:val="05627F81"/>
    <w:rsid w:val="0BDC6F5D"/>
    <w:rsid w:val="133F4ED9"/>
    <w:rsid w:val="1ADE070A"/>
    <w:rsid w:val="1C8D79CC"/>
    <w:rsid w:val="213F50D9"/>
    <w:rsid w:val="2428786F"/>
    <w:rsid w:val="24F32A89"/>
    <w:rsid w:val="25056210"/>
    <w:rsid w:val="28BD333F"/>
    <w:rsid w:val="300F517B"/>
    <w:rsid w:val="33E54DAC"/>
    <w:rsid w:val="45BD4ED7"/>
    <w:rsid w:val="4CE731C8"/>
    <w:rsid w:val="4F75620E"/>
    <w:rsid w:val="507242BC"/>
    <w:rsid w:val="5181771E"/>
    <w:rsid w:val="580E0679"/>
    <w:rsid w:val="58922102"/>
    <w:rsid w:val="5AAB388F"/>
    <w:rsid w:val="5AE4275F"/>
    <w:rsid w:val="5F2B7635"/>
    <w:rsid w:val="692F6F4D"/>
    <w:rsid w:val="6C071193"/>
    <w:rsid w:val="6CDE0E9F"/>
    <w:rsid w:val="70F3186B"/>
    <w:rsid w:val="7BB0282A"/>
    <w:rsid w:val="7D140349"/>
    <w:rsid w:val="7E9C0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jc w:val="both"/>
      <w:textAlignment w:val="baseline"/>
    </w:pPr>
    <w:rPr>
      <w:rFonts w:ascii="Calibri" w:hAnsi="Times New Roman" w:eastAsia="宋体" w:cs="Times New Roman"/>
      <w:kern w:val="2"/>
      <w:sz w:val="21"/>
      <w:szCs w:val="22"/>
      <w:lang w:val="en-US" w:eastAsia="zh-CN" w:bidi="ar-SA"/>
    </w:rPr>
  </w:style>
  <w:style w:type="paragraph" w:styleId="2">
    <w:name w:val="heading 3"/>
    <w:next w:val="3"/>
    <w:autoRedefine/>
    <w:qFormat/>
    <w:uiPriority w:val="99"/>
    <w:pPr>
      <w:keepNext/>
      <w:keepLines/>
      <w:widowControl/>
      <w:tabs>
        <w:tab w:val="left" w:pos="0"/>
      </w:tabs>
      <w:adjustRightInd w:val="0"/>
      <w:snapToGrid w:val="0"/>
      <w:spacing w:before="0" w:beforeLines="0" w:after="120" w:afterLines="0" w:line="560" w:lineRule="exact"/>
      <w:ind w:firstLine="200" w:firstLineChars="200"/>
      <w:jc w:val="left"/>
      <w:outlineLvl w:val="2"/>
    </w:pPr>
    <w:rPr>
      <w:rFonts w:ascii="仿宋_GB2312" w:hAnsi="仿宋_GB2312" w:eastAsia="仿宋_GB2312" w:cs="仿宋_GB2312"/>
      <w:kern w:val="0"/>
      <w:sz w:val="32"/>
      <w:szCs w:val="32"/>
      <w:lang w:val="en-GB"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w:next w:val="4"/>
    <w:autoRedefine/>
    <w:qFormat/>
    <w:uiPriority w:val="1"/>
    <w:pPr>
      <w:widowControl/>
      <w:adjustRightInd w:val="0"/>
      <w:snapToGrid w:val="0"/>
      <w:spacing w:before="150" w:beforeLines="0" w:after="150" w:afterLines="0" w:line="264" w:lineRule="auto"/>
      <w:ind w:firstLine="567" w:firstLineChars="200"/>
      <w:jc w:val="both"/>
    </w:pPr>
    <w:rPr>
      <w:rFonts w:ascii="华文楷体" w:hAnsi="华文楷体" w:eastAsia="LF_Kai" w:cs="Times New Roman"/>
      <w:kern w:val="0"/>
      <w:sz w:val="24"/>
      <w:szCs w:val="20"/>
      <w:lang w:val="en-GB" w:eastAsia="zh-CN" w:bidi="ar-SA"/>
    </w:rPr>
  </w:style>
  <w:style w:type="paragraph" w:styleId="4">
    <w:name w:val="toc 1"/>
    <w:next w:val="1"/>
    <w:qFormat/>
    <w:uiPriority w:val="39"/>
    <w:pPr>
      <w:tabs>
        <w:tab w:val="left" w:pos="540"/>
        <w:tab w:val="right" w:leader="dot" w:pos="8296"/>
      </w:tabs>
      <w:adjustRightInd w:val="0"/>
      <w:snapToGrid w:val="0"/>
      <w:spacing w:before="120" w:beforeLines="0" w:after="120" w:afterLines="0" w:line="560" w:lineRule="exact"/>
      <w:ind w:firstLine="200" w:firstLineChars="200"/>
      <w:jc w:val="left"/>
    </w:pPr>
    <w:rPr>
      <w:rFonts w:ascii="Calibri" w:hAnsi="Calibri" w:eastAsia="仿宋_GB2312" w:cs="Calibri"/>
      <w:b/>
      <w:bCs/>
      <w:caps/>
      <w:kern w:val="2"/>
      <w:sz w:val="28"/>
      <w:szCs w:val="28"/>
      <w:lang w:val="en-US" w:eastAsia="zh-CN" w:bidi="ar-SA"/>
    </w:rPr>
  </w:style>
  <w:style w:type="paragraph" w:styleId="5">
    <w:name w:val="Body Text Indent"/>
    <w:basedOn w:val="1"/>
    <w:next w:val="1"/>
    <w:qFormat/>
    <w:uiPriority w:val="0"/>
    <w:pPr>
      <w:spacing w:after="120" w:afterLines="0" w:line="560" w:lineRule="exact"/>
      <w:ind w:left="420" w:leftChars="200" w:firstLine="200" w:firstLineChars="200"/>
      <w:jc w:val="both"/>
    </w:pPr>
    <w:rPr>
      <w:rFonts w:ascii="Times New Roman" w:hAnsi="Times New Roman" w:eastAsia="宋体" w:cs="Times New Roman"/>
      <w:kern w:val="2"/>
      <w:sz w:val="21"/>
      <w:szCs w:val="32"/>
      <w:lang w:val="en-US" w:eastAsia="zh-CN" w:bidi="ar-SA"/>
    </w:rPr>
  </w:style>
  <w:style w:type="paragraph" w:styleId="6">
    <w:name w:val="footer"/>
    <w:basedOn w:val="1"/>
    <w:link w:val="21"/>
    <w:qFormat/>
    <w:uiPriority w:val="0"/>
    <w:pPr>
      <w:tabs>
        <w:tab w:val="center" w:pos="4153"/>
        <w:tab w:val="right" w:pos="8306"/>
      </w:tabs>
      <w:snapToGrid w:val="0"/>
      <w:jc w:val="left"/>
    </w:pPr>
    <w:rPr>
      <w:rFonts w:ascii="仿宋_GB2312" w:eastAsia="仿宋_GB2312"/>
      <w:sz w:val="18"/>
      <w:szCs w:val="18"/>
    </w:rPr>
  </w:style>
  <w:style w:type="paragraph" w:styleId="7">
    <w:name w:val="header"/>
    <w:basedOn w:val="1"/>
    <w:link w:val="26"/>
    <w:qFormat/>
    <w:uiPriority w:val="0"/>
    <w:pPr>
      <w:tabs>
        <w:tab w:val="center" w:pos="4153"/>
        <w:tab w:val="right" w:pos="8306"/>
      </w:tabs>
      <w:snapToGrid w:val="0"/>
      <w:spacing w:line="620" w:lineRule="exact"/>
      <w:ind w:firstLine="200" w:firstLineChars="200"/>
      <w:jc w:val="center"/>
    </w:pPr>
    <w:rPr>
      <w:rFonts w:ascii="仿宋_GB2312" w:eastAsia="仿宋_GB2312"/>
      <w:sz w:val="18"/>
      <w:szCs w:val="18"/>
    </w:rPr>
  </w:style>
  <w:style w:type="paragraph" w:styleId="8">
    <w:name w:val="Subtitle"/>
    <w:basedOn w:val="1"/>
    <w:next w:val="1"/>
    <w:link w:val="28"/>
    <w:autoRedefine/>
    <w:qFormat/>
    <w:uiPriority w:val="11"/>
    <w:pPr>
      <w:snapToGrid w:val="0"/>
      <w:spacing w:before="240" w:after="60" w:line="312" w:lineRule="auto"/>
      <w:jc w:val="center"/>
    </w:pPr>
    <w:rPr>
      <w:rFonts w:ascii="Cambria" w:hAnsi="Cambria" w:eastAsia="黑体"/>
      <w:kern w:val="28"/>
      <w:sz w:val="24"/>
      <w:szCs w:val="32"/>
    </w:rPr>
  </w:style>
  <w:style w:type="paragraph" w:styleId="9">
    <w:name w:val="Body Text First Indent 2"/>
    <w:basedOn w:val="5"/>
    <w:next w:val="1"/>
    <w:qFormat/>
    <w:uiPriority w:val="0"/>
    <w:pPr>
      <w:spacing w:after="120" w:afterLines="0" w:line="360" w:lineRule="auto"/>
      <w:ind w:left="420" w:leftChars="200" w:firstLine="420" w:firstLineChars="200"/>
      <w:jc w:val="both"/>
    </w:pPr>
    <w:rPr>
      <w:rFonts w:ascii="Times New Roman" w:hAnsi="Times New Roman" w:eastAsia="宋体" w:cs="Times New Roman"/>
      <w:kern w:val="2"/>
      <w:sz w:val="28"/>
      <w:szCs w:val="32"/>
      <w:lang w:val="en-US" w:eastAsia="zh-CN" w:bidi="ar-SA"/>
    </w:rPr>
  </w:style>
  <w:style w:type="paragraph" w:customStyle="1" w:styleId="12">
    <w:name w:val="正文-公1"/>
    <w:autoRedefine/>
    <w:qFormat/>
    <w:uiPriority w:val="99"/>
    <w:pPr>
      <w:widowControl w:val="0"/>
      <w:spacing w:line="560" w:lineRule="exact"/>
      <w:ind w:firstLine="200" w:firstLineChars="200"/>
    </w:pPr>
    <w:rPr>
      <w:rFonts w:ascii="仿宋_GB2312" w:hAnsi="仿宋_GB2312" w:eastAsia="仿宋_GB2312" w:cs="仿宋_GB2312"/>
      <w:kern w:val="2"/>
      <w:sz w:val="32"/>
      <w:szCs w:val="32"/>
      <w:lang w:val="en-US" w:eastAsia="zh-CN" w:bidi="ar-SA"/>
    </w:rPr>
  </w:style>
  <w:style w:type="paragraph" w:customStyle="1" w:styleId="13">
    <w:name w:val="TOC6"/>
    <w:basedOn w:val="1"/>
    <w:next w:val="1"/>
    <w:semiHidden/>
    <w:qFormat/>
    <w:uiPriority w:val="0"/>
    <w:pPr>
      <w:ind w:left="2100"/>
    </w:pPr>
    <w:rPr>
      <w:sz w:val="24"/>
    </w:rPr>
  </w:style>
  <w:style w:type="paragraph" w:customStyle="1" w:styleId="14">
    <w:name w:val="Heading2"/>
    <w:basedOn w:val="15"/>
    <w:next w:val="17"/>
    <w:autoRedefine/>
    <w:qFormat/>
    <w:uiPriority w:val="0"/>
    <w:rPr>
      <w:rFonts w:eastAsia="楷体_GB2312"/>
    </w:rPr>
  </w:style>
  <w:style w:type="paragraph" w:customStyle="1" w:styleId="15">
    <w:name w:val="Heading3"/>
    <w:basedOn w:val="1"/>
    <w:next w:val="16"/>
    <w:qFormat/>
    <w:uiPriority w:val="0"/>
    <w:pPr>
      <w:keepNext/>
      <w:keepLines/>
      <w:spacing w:after="120" w:line="560" w:lineRule="exact"/>
      <w:ind w:firstLine="200" w:firstLineChars="200"/>
    </w:pPr>
    <w:rPr>
      <w:rFonts w:eastAsia="仿宋_GB2312"/>
      <w:sz w:val="32"/>
    </w:rPr>
  </w:style>
  <w:style w:type="paragraph" w:customStyle="1" w:styleId="16">
    <w:name w:val="NormalIndent"/>
    <w:basedOn w:val="1"/>
    <w:autoRedefine/>
    <w:qFormat/>
    <w:uiPriority w:val="0"/>
    <w:pPr>
      <w:ind w:firstLine="420"/>
    </w:pPr>
  </w:style>
  <w:style w:type="paragraph" w:customStyle="1" w:styleId="17">
    <w:name w:val="BodyText"/>
    <w:basedOn w:val="1"/>
    <w:link w:val="27"/>
    <w:autoRedefine/>
    <w:qFormat/>
    <w:uiPriority w:val="0"/>
    <w:pPr>
      <w:spacing w:after="120"/>
      <w:jc w:val="left"/>
    </w:pPr>
    <w:rPr>
      <w:rFonts w:ascii="Times New Roman"/>
      <w:szCs w:val="24"/>
    </w:rPr>
  </w:style>
  <w:style w:type="character" w:customStyle="1" w:styleId="18">
    <w:name w:val="NormalCharacter"/>
    <w:autoRedefine/>
    <w:qFormat/>
    <w:uiPriority w:val="0"/>
  </w:style>
  <w:style w:type="table" w:customStyle="1" w:styleId="19">
    <w:name w:val="TableNormal"/>
    <w:qFormat/>
    <w:uiPriority w:val="0"/>
    <w:tblPr>
      <w:tblCellMar>
        <w:top w:w="0" w:type="dxa"/>
        <w:left w:w="0" w:type="dxa"/>
        <w:bottom w:w="0" w:type="dxa"/>
        <w:right w:w="0" w:type="dxa"/>
      </w:tblCellMar>
    </w:tblPr>
  </w:style>
  <w:style w:type="character" w:customStyle="1" w:styleId="20">
    <w:name w:val="UserStyle_0"/>
    <w:autoRedefine/>
    <w:qFormat/>
    <w:uiPriority w:val="0"/>
    <w:rPr>
      <w:rFonts w:ascii="宋体" w:hAnsi="Courier New" w:eastAsia="宋体"/>
      <w:kern w:val="2"/>
      <w:sz w:val="21"/>
      <w:szCs w:val="21"/>
    </w:rPr>
  </w:style>
  <w:style w:type="character" w:customStyle="1" w:styleId="21">
    <w:name w:val="页脚 字符"/>
    <w:link w:val="6"/>
    <w:qFormat/>
    <w:uiPriority w:val="0"/>
    <w:rPr>
      <w:kern w:val="2"/>
      <w:sz w:val="18"/>
      <w:szCs w:val="18"/>
    </w:rPr>
  </w:style>
  <w:style w:type="character" w:customStyle="1" w:styleId="22">
    <w:name w:val="UserStyle_2"/>
    <w:link w:val="23"/>
    <w:autoRedefine/>
    <w:qFormat/>
    <w:uiPriority w:val="0"/>
    <w:rPr>
      <w:rFonts w:ascii="宋体" w:hAnsi="Courier New"/>
      <w:kern w:val="2"/>
      <w:sz w:val="21"/>
      <w:szCs w:val="21"/>
    </w:rPr>
  </w:style>
  <w:style w:type="paragraph" w:customStyle="1" w:styleId="23">
    <w:name w:val="PlainText"/>
    <w:basedOn w:val="1"/>
    <w:link w:val="22"/>
    <w:autoRedefine/>
    <w:qFormat/>
    <w:uiPriority w:val="0"/>
    <w:rPr>
      <w:rFonts w:ascii="宋体" w:hAnsi="Courier New" w:eastAsia="仿宋_GB2312"/>
      <w:szCs w:val="21"/>
    </w:rPr>
  </w:style>
  <w:style w:type="character" w:customStyle="1" w:styleId="24">
    <w:name w:val="UserStyle_3"/>
    <w:link w:val="25"/>
    <w:autoRedefine/>
    <w:qFormat/>
    <w:uiPriority w:val="0"/>
    <w:rPr>
      <w:rFonts w:ascii="MingLiU" w:hAnsi="MingLiU" w:eastAsia="MingLiU"/>
      <w:sz w:val="18"/>
      <w:szCs w:val="18"/>
      <w:lang w:val="zh-TW" w:eastAsia="zh-TW" w:bidi="zh-TW"/>
    </w:rPr>
  </w:style>
  <w:style w:type="paragraph" w:customStyle="1" w:styleId="25">
    <w:name w:val="UserStyle_4"/>
    <w:basedOn w:val="1"/>
    <w:link w:val="24"/>
    <w:autoRedefine/>
    <w:qFormat/>
    <w:uiPriority w:val="0"/>
    <w:pPr>
      <w:spacing w:line="386" w:lineRule="auto"/>
      <w:ind w:firstLine="400"/>
      <w:jc w:val="left"/>
    </w:pPr>
    <w:rPr>
      <w:rFonts w:ascii="MingLiU" w:hAnsi="MingLiU" w:eastAsia="MingLiU"/>
      <w:kern w:val="0"/>
      <w:sz w:val="18"/>
      <w:szCs w:val="18"/>
      <w:lang w:val="zh-TW" w:eastAsia="zh-TW" w:bidi="zh-TW"/>
    </w:rPr>
  </w:style>
  <w:style w:type="character" w:customStyle="1" w:styleId="26">
    <w:name w:val="页眉 字符"/>
    <w:link w:val="7"/>
    <w:autoRedefine/>
    <w:qFormat/>
    <w:uiPriority w:val="0"/>
    <w:rPr>
      <w:kern w:val="2"/>
      <w:sz w:val="18"/>
      <w:szCs w:val="18"/>
    </w:rPr>
  </w:style>
  <w:style w:type="character" w:customStyle="1" w:styleId="27">
    <w:name w:val="UserStyle_6"/>
    <w:link w:val="17"/>
    <w:qFormat/>
    <w:uiPriority w:val="0"/>
    <w:rPr>
      <w:rFonts w:ascii="Times New Roman" w:hAnsi="Times New Roman" w:eastAsia="宋体"/>
      <w:kern w:val="2"/>
      <w:sz w:val="21"/>
      <w:szCs w:val="24"/>
    </w:rPr>
  </w:style>
  <w:style w:type="character" w:customStyle="1" w:styleId="28">
    <w:name w:val="副标题 字符"/>
    <w:link w:val="8"/>
    <w:autoRedefine/>
    <w:qFormat/>
    <w:uiPriority w:val="0"/>
    <w:rPr>
      <w:rFonts w:ascii="Cambria" w:hAnsi="Cambria" w:eastAsia="黑体" w:cs="Times New Roman"/>
      <w:b/>
      <w:bCs/>
      <w:kern w:val="28"/>
      <w:sz w:val="24"/>
      <w:szCs w:val="32"/>
    </w:rPr>
  </w:style>
  <w:style w:type="paragraph" w:customStyle="1" w:styleId="29">
    <w:name w:val="BodyText1I"/>
    <w:basedOn w:val="17"/>
    <w:autoRedefine/>
    <w:qFormat/>
    <w:uiPriority w:val="0"/>
    <w:pPr>
      <w:ind w:firstLine="420" w:firstLineChars="100"/>
    </w:pPr>
    <w:rPr>
      <w:rFonts w:eastAsia="Times New Roman"/>
    </w:rPr>
  </w:style>
  <w:style w:type="paragraph" w:customStyle="1" w:styleId="30">
    <w:name w:val="HtmlNormal"/>
    <w:basedOn w:val="1"/>
    <w:autoRedefine/>
    <w:qFormat/>
    <w:uiPriority w:val="0"/>
    <w:pPr>
      <w:spacing w:before="100" w:beforeAutospacing="1" w:after="100" w:afterAutospacing="1"/>
      <w:jc w:val="left"/>
    </w:pPr>
    <w:rPr>
      <w:rFonts w:ascii="宋体" w:hAnsi="宋体"/>
      <w:kern w:val="0"/>
      <w:sz w:val="24"/>
      <w:szCs w:val="24"/>
    </w:rPr>
  </w:style>
  <w:style w:type="paragraph" w:customStyle="1" w:styleId="31">
    <w:name w:val="UserStyle_8"/>
    <w:basedOn w:val="1"/>
    <w:autoRedefine/>
    <w:qFormat/>
    <w:uiPriority w:val="0"/>
    <w:pPr>
      <w:shd w:val="clear" w:color="auto" w:fill="FFFFFF"/>
      <w:spacing w:before="1100" w:line="220" w:lineRule="exact"/>
      <w:ind w:hanging="140"/>
      <w:jc w:val="center"/>
    </w:pPr>
    <w:rPr>
      <w:rFonts w:ascii="PMingLiU" w:hAnsi="PMingLiU" w:eastAsia="PMingLiU"/>
      <w:spacing w:val="10"/>
    </w:rPr>
  </w:style>
  <w:style w:type="table" w:customStyle="1" w:styleId="32">
    <w:name w:val="UserStyle_9"/>
    <w:autoRedefine/>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2202</Words>
  <Characters>2521</Characters>
  <Lines>34</Lines>
  <Paragraphs>9</Paragraphs>
  <TotalTime>12</TotalTime>
  <ScaleCrop>false</ScaleCrop>
  <LinksUpToDate>false</LinksUpToDate>
  <CharactersWithSpaces>2582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2021-05-19T03:28:00Z</dcterms:created>
  <dc:creator>Joey</dc:creator>
  <cp:lastModifiedBy>WPS_1621589458</cp:lastModifiedBy>
  <cp:lastPrinted>2025-12-16T02:27:00Z</cp:lastPrinted>
  <dcterms:modified xsi:type="dcterms:W3CDTF">2025-12-16T02:45:14Z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26EB9918B2D042F79CD4DE6199E4E8FE_13</vt:lpwstr>
  </property>
  <property fmtid="{D5CDD505-2E9C-101B-9397-08002B2CF9AE}" pid="4" name="KSOTemplateDocerSaveRecord">
    <vt:lpwstr>eyJoZGlkIjoiZmZmODQ3ZTdiODUzOGM2ZGMyNTdlMzJhMGNhMTY2OGIiLCJ1c2VySWQiOiIxMjE0NjI2MTUwIn0=</vt:lpwstr>
  </property>
</Properties>
</file>